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54631" w14:textId="77777777" w:rsidR="002D6D9E" w:rsidRDefault="002D6D9E" w:rsidP="00972ED7">
      <w:pPr>
        <w:spacing w:line="480" w:lineRule="auto"/>
        <w:jc w:val="both"/>
        <w:rPr>
          <w:b/>
          <w:bCs/>
        </w:rPr>
      </w:pPr>
    </w:p>
    <w:p w14:paraId="0586742E" w14:textId="3B23C8F8" w:rsidR="00167708" w:rsidRDefault="00027F7A" w:rsidP="00972ED7">
      <w:pPr>
        <w:spacing w:line="480" w:lineRule="auto"/>
        <w:jc w:val="both"/>
        <w:rPr>
          <w:b/>
          <w:bCs/>
        </w:rPr>
      </w:pPr>
      <w:r w:rsidRPr="002F5142">
        <w:rPr>
          <w:b/>
          <w:bCs/>
        </w:rPr>
        <w:t xml:space="preserve">Cost Effectiveness </w:t>
      </w:r>
      <w:r w:rsidR="006E46B1">
        <w:rPr>
          <w:b/>
          <w:bCs/>
        </w:rPr>
        <w:t xml:space="preserve">Comparison of </w:t>
      </w:r>
      <w:proofErr w:type="spellStart"/>
      <w:r w:rsidR="006E46B1" w:rsidRPr="006E46B1">
        <w:rPr>
          <w:b/>
          <w:bCs/>
          <w:i/>
          <w:iCs/>
        </w:rPr>
        <w:t>Dengvaxia</w:t>
      </w:r>
      <w:proofErr w:type="spellEnd"/>
      <w:r w:rsidR="006E46B1">
        <w:rPr>
          <w:b/>
          <w:bCs/>
        </w:rPr>
        <w:t xml:space="preserve"> and</w:t>
      </w:r>
      <w:r w:rsidRPr="002F5142">
        <w:rPr>
          <w:b/>
          <w:bCs/>
        </w:rPr>
        <w:t xml:space="preserve"> </w:t>
      </w:r>
      <w:proofErr w:type="spellStart"/>
      <w:r w:rsidR="00287C10" w:rsidRPr="00287C10">
        <w:rPr>
          <w:b/>
          <w:bCs/>
          <w:i/>
          <w:iCs/>
        </w:rPr>
        <w:t>wMel</w:t>
      </w:r>
      <w:proofErr w:type="spellEnd"/>
      <w:r w:rsidR="00287C10" w:rsidRPr="00287C10">
        <w:rPr>
          <w:b/>
          <w:bCs/>
          <w:i/>
          <w:iCs/>
        </w:rPr>
        <w:t xml:space="preserve"> Wolbachia</w:t>
      </w:r>
      <w:r w:rsidR="00287C10">
        <w:t xml:space="preserve"> </w:t>
      </w:r>
      <w:r w:rsidR="00CB7762" w:rsidRPr="002F5142">
        <w:rPr>
          <w:b/>
          <w:bCs/>
        </w:rPr>
        <w:t xml:space="preserve">-infected </w:t>
      </w:r>
      <w:r w:rsidR="00CB7762" w:rsidRPr="00972ED7">
        <w:rPr>
          <w:b/>
          <w:bCs/>
          <w:i/>
          <w:iCs/>
        </w:rPr>
        <w:t xml:space="preserve">Aedes </w:t>
      </w:r>
      <w:r w:rsidR="00972ED7" w:rsidRPr="00972ED7">
        <w:rPr>
          <w:b/>
          <w:bCs/>
          <w:i/>
          <w:iCs/>
        </w:rPr>
        <w:t>a</w:t>
      </w:r>
      <w:r w:rsidR="00CB7762" w:rsidRPr="00972ED7">
        <w:rPr>
          <w:b/>
          <w:bCs/>
          <w:i/>
          <w:iCs/>
        </w:rPr>
        <w:t>egypti</w:t>
      </w:r>
      <w:r w:rsidR="00CB7762" w:rsidRPr="002F5142">
        <w:rPr>
          <w:b/>
          <w:bCs/>
        </w:rPr>
        <w:t xml:space="preserve"> mosquitoes to control for </w:t>
      </w:r>
      <w:r w:rsidR="00F4666A">
        <w:rPr>
          <w:b/>
          <w:bCs/>
        </w:rPr>
        <w:t>Dengue</w:t>
      </w:r>
      <w:r w:rsidR="00CB7762" w:rsidRPr="002F5142">
        <w:rPr>
          <w:b/>
          <w:bCs/>
        </w:rPr>
        <w:t xml:space="preserve"> in </w:t>
      </w:r>
      <w:r w:rsidR="003E1F1B">
        <w:rPr>
          <w:b/>
          <w:bCs/>
        </w:rPr>
        <w:t>Thailand</w:t>
      </w:r>
      <w:r w:rsidR="00167708">
        <w:rPr>
          <w:b/>
          <w:bCs/>
        </w:rPr>
        <w:t xml:space="preserve"> </w:t>
      </w:r>
      <w:r w:rsidR="002F5142" w:rsidRPr="002F5142">
        <w:rPr>
          <w:b/>
          <w:bCs/>
        </w:rPr>
        <w:t xml:space="preserve">based on Implementation in </w:t>
      </w:r>
      <w:r w:rsidR="00F85855">
        <w:rPr>
          <w:b/>
          <w:bCs/>
        </w:rPr>
        <w:t>Indonesia</w:t>
      </w:r>
      <w:r w:rsidR="00167708">
        <w:rPr>
          <w:b/>
          <w:bCs/>
        </w:rPr>
        <w:t xml:space="preserve"> </w:t>
      </w:r>
    </w:p>
    <w:p w14:paraId="66E19860" w14:textId="77777777" w:rsidR="00003273" w:rsidRDefault="00003273" w:rsidP="00972ED7">
      <w:pPr>
        <w:spacing w:line="480" w:lineRule="auto"/>
        <w:jc w:val="both"/>
        <w:rPr>
          <w:b/>
          <w:bCs/>
        </w:rPr>
      </w:pPr>
    </w:p>
    <w:p w14:paraId="0213B6CD" w14:textId="1565682E" w:rsidR="00167708" w:rsidRDefault="00167708" w:rsidP="00972ED7">
      <w:pPr>
        <w:spacing w:line="480" w:lineRule="auto"/>
        <w:jc w:val="both"/>
        <w:rPr>
          <w:b/>
          <w:bCs/>
        </w:rPr>
      </w:pPr>
      <w:r>
        <w:rPr>
          <w:b/>
          <w:bCs/>
        </w:rPr>
        <w:t>A</w:t>
      </w:r>
      <w:r w:rsidR="00E72A69">
        <w:rPr>
          <w:b/>
          <w:bCs/>
        </w:rPr>
        <w:t xml:space="preserve">bstract: </w:t>
      </w:r>
    </w:p>
    <w:p w14:paraId="6E5A5CF6" w14:textId="75E619F3" w:rsidR="00E72A69" w:rsidRPr="00E72A69" w:rsidRDefault="00E72A69" w:rsidP="00972ED7">
      <w:pPr>
        <w:spacing w:line="480" w:lineRule="auto"/>
        <w:jc w:val="both"/>
      </w:pPr>
      <w:r>
        <w:tab/>
        <w:t xml:space="preserve">This </w:t>
      </w:r>
      <w:r w:rsidR="00043329">
        <w:t>cost-effectiveness analysis (</w:t>
      </w:r>
      <w:r>
        <w:t>CEA</w:t>
      </w:r>
      <w:r w:rsidR="00043329">
        <w:t>)</w:t>
      </w:r>
      <w:r>
        <w:t xml:space="preserve"> compares </w:t>
      </w:r>
      <w:proofErr w:type="spellStart"/>
      <w:r w:rsidR="00287C10">
        <w:rPr>
          <w:i/>
          <w:iCs/>
        </w:rPr>
        <w:t>wMel</w:t>
      </w:r>
      <w:proofErr w:type="spellEnd"/>
      <w:r w:rsidR="00287C10">
        <w:rPr>
          <w:i/>
          <w:iCs/>
        </w:rPr>
        <w:t xml:space="preserve"> W</w:t>
      </w:r>
      <w:r w:rsidR="00287C10" w:rsidRPr="00287C10">
        <w:rPr>
          <w:i/>
          <w:iCs/>
        </w:rPr>
        <w:t>olbachia</w:t>
      </w:r>
      <w:r>
        <w:t xml:space="preserve"> implementation and dengue vaccination as possible programs for the prevention of dengue in Thailand. Two studies on proposed interventions in Indonesia were used as </w:t>
      </w:r>
      <w:r w:rsidR="00043329">
        <w:t>proxies</w:t>
      </w:r>
      <w:r>
        <w:t>,</w:t>
      </w:r>
      <w:r w:rsidR="00043329">
        <w:t xml:space="preserve"> and</w:t>
      </w:r>
      <w:r>
        <w:t xml:space="preserve"> adjustments </w:t>
      </w:r>
      <w:r w:rsidR="00043329">
        <w:t xml:space="preserve">were made considering specific </w:t>
      </w:r>
      <w:r>
        <w:t xml:space="preserve">health indicators </w:t>
      </w:r>
      <w:r w:rsidR="00043329">
        <w:t>in Thailand compared to Indonesia</w:t>
      </w:r>
      <w:r>
        <w:t xml:space="preserve">. </w:t>
      </w:r>
      <w:proofErr w:type="spellStart"/>
      <w:r w:rsidR="00287C10" w:rsidRPr="00287C10">
        <w:rPr>
          <w:i/>
          <w:iCs/>
        </w:rPr>
        <w:t>wMel</w:t>
      </w:r>
      <w:proofErr w:type="spellEnd"/>
      <w:r w:rsidR="00287C10" w:rsidRPr="00287C10">
        <w:rPr>
          <w:i/>
          <w:iCs/>
        </w:rPr>
        <w:t xml:space="preserve"> </w:t>
      </w:r>
      <w:r w:rsidRPr="00287C10">
        <w:rPr>
          <w:i/>
          <w:iCs/>
        </w:rPr>
        <w:t>Wolbachia</w:t>
      </w:r>
      <w:r>
        <w:t xml:space="preserve"> </w:t>
      </w:r>
      <w:r w:rsidR="00287C10">
        <w:t xml:space="preserve">strain </w:t>
      </w:r>
      <w:r>
        <w:t xml:space="preserve">implementation </w:t>
      </w:r>
      <w:r w:rsidR="00043329">
        <w:t xml:space="preserve">was found to be more cost effective at averting DALYs attributable to dengue than </w:t>
      </w:r>
      <w:r>
        <w:t>a</w:t>
      </w:r>
      <w:r w:rsidR="00043329">
        <w:t xml:space="preserve"> </w:t>
      </w:r>
      <w:r>
        <w:t xml:space="preserve">dengue vaccination </w:t>
      </w:r>
      <w:r w:rsidR="00043329">
        <w:t>program in Thailand.</w:t>
      </w:r>
      <w:r>
        <w:t xml:space="preserve"> Th</w:t>
      </w:r>
      <w:r w:rsidR="00043329">
        <w:t>is</w:t>
      </w:r>
      <w:r>
        <w:t xml:space="preserve"> conclusion</w:t>
      </w:r>
      <w:r w:rsidR="00043329">
        <w:t xml:space="preserve"> </w:t>
      </w:r>
      <w:proofErr w:type="gramStart"/>
      <w:r>
        <w:t>support</w:t>
      </w:r>
      <w:proofErr w:type="gramEnd"/>
      <w:r>
        <w:t xml:space="preserve"> recent efforts to infect and spread Aedes Aegypti mosquitoes with </w:t>
      </w:r>
      <w:proofErr w:type="spellStart"/>
      <w:r w:rsidR="00287C10">
        <w:rPr>
          <w:i/>
          <w:iCs/>
        </w:rPr>
        <w:t>wMel</w:t>
      </w:r>
      <w:proofErr w:type="spellEnd"/>
      <w:r w:rsidR="00287C10">
        <w:rPr>
          <w:i/>
          <w:iCs/>
        </w:rPr>
        <w:t xml:space="preserve"> W</w:t>
      </w:r>
      <w:r w:rsidRPr="00287C10">
        <w:rPr>
          <w:i/>
          <w:iCs/>
        </w:rPr>
        <w:t>olbachia</w:t>
      </w:r>
      <w:r w:rsidR="00287C10">
        <w:t xml:space="preserve"> strains</w:t>
      </w:r>
      <w:r>
        <w:t xml:space="preserve"> for the prevention of dengue and other dangerous arboviruses in the face of increased incidence of neglected tropical diseases and climate change threatening the further rise of arbovirus disease cases. </w:t>
      </w:r>
    </w:p>
    <w:p w14:paraId="39BCAD54" w14:textId="165241CA" w:rsidR="00167708" w:rsidRDefault="00167708">
      <w:pPr>
        <w:rPr>
          <w:b/>
          <w:bCs/>
        </w:rPr>
      </w:pPr>
    </w:p>
    <w:p w14:paraId="6CB2A6CA" w14:textId="4347EFED" w:rsidR="00167708" w:rsidRDefault="00167708" w:rsidP="00972ED7">
      <w:pPr>
        <w:spacing w:line="480" w:lineRule="auto"/>
        <w:jc w:val="both"/>
        <w:rPr>
          <w:b/>
          <w:bCs/>
        </w:rPr>
      </w:pPr>
      <w:r>
        <w:rPr>
          <w:b/>
          <w:bCs/>
        </w:rPr>
        <w:t xml:space="preserve">Natural History of Dengue: </w:t>
      </w:r>
    </w:p>
    <w:p w14:paraId="63005E65" w14:textId="737F9DDF" w:rsidR="00972ED7" w:rsidRDefault="00E8579C" w:rsidP="00972ED7">
      <w:pPr>
        <w:spacing w:line="480" w:lineRule="auto"/>
        <w:jc w:val="both"/>
      </w:pPr>
      <w:r>
        <w:tab/>
        <w:t xml:space="preserve">Dengue is a mosquito-borne viral infection which is typically found in regions with tropical and sub-tropical climates where </w:t>
      </w:r>
      <w:r w:rsidR="003E1F1B">
        <w:t>mosquitoes</w:t>
      </w:r>
      <w:r w:rsidR="002855B3">
        <w:t xml:space="preserve"> like </w:t>
      </w:r>
      <w:r w:rsidR="002855B3" w:rsidRPr="002855B3">
        <w:rPr>
          <w:i/>
          <w:iCs/>
        </w:rPr>
        <w:t xml:space="preserve">Aedes </w:t>
      </w:r>
      <w:r w:rsidR="00972ED7">
        <w:rPr>
          <w:i/>
          <w:iCs/>
        </w:rPr>
        <w:t>a</w:t>
      </w:r>
      <w:r w:rsidR="002855B3" w:rsidRPr="002855B3">
        <w:rPr>
          <w:i/>
          <w:iCs/>
        </w:rPr>
        <w:t>egypti</w:t>
      </w:r>
      <w:r w:rsidR="002855B3">
        <w:t xml:space="preserve"> and </w:t>
      </w:r>
      <w:r w:rsidR="002855B3" w:rsidRPr="002855B3">
        <w:rPr>
          <w:i/>
          <w:iCs/>
        </w:rPr>
        <w:t xml:space="preserve">Aedes </w:t>
      </w:r>
      <w:r w:rsidR="00972ED7">
        <w:rPr>
          <w:i/>
          <w:iCs/>
        </w:rPr>
        <w:t>a</w:t>
      </w:r>
      <w:r w:rsidR="002855B3" w:rsidRPr="002855B3">
        <w:rPr>
          <w:i/>
          <w:iCs/>
        </w:rPr>
        <w:t>lbopictus</w:t>
      </w:r>
      <w:r w:rsidR="002855B3">
        <w:t xml:space="preserve">, the </w:t>
      </w:r>
      <w:r w:rsidR="00043329">
        <w:t xml:space="preserve">two </w:t>
      </w:r>
      <w:r w:rsidR="002855B3">
        <w:t xml:space="preserve">species that transmit </w:t>
      </w:r>
      <w:r w:rsidR="00E72A69">
        <w:t>most</w:t>
      </w:r>
      <w:r w:rsidR="002855B3">
        <w:t xml:space="preserve"> dengue cases,</w:t>
      </w:r>
      <w:r w:rsidR="003E1F1B">
        <w:t xml:space="preserve"> thrive. The W</w:t>
      </w:r>
      <w:r w:rsidR="00972ED7">
        <w:t xml:space="preserve">orld </w:t>
      </w:r>
      <w:r w:rsidR="003E1F1B">
        <w:t>H</w:t>
      </w:r>
      <w:r w:rsidR="00972ED7">
        <w:t xml:space="preserve">ealth </w:t>
      </w:r>
      <w:r w:rsidR="003E1F1B">
        <w:t>O</w:t>
      </w:r>
      <w:r w:rsidR="00972ED7">
        <w:t>rganization (WHO)</w:t>
      </w:r>
      <w:r w:rsidR="003E1F1B">
        <w:t xml:space="preserve"> estimates that there are 390 million dengue virus infections per year, of which 96 million will manifest clinically</w:t>
      </w:r>
      <w:r w:rsidR="00043329">
        <w:t>. The</w:t>
      </w:r>
      <w:r w:rsidR="003E1F1B">
        <w:t xml:space="preserve"> number of dengue cases reported to the WHO increased over 8</w:t>
      </w:r>
      <w:r w:rsidR="00836303">
        <w:t>-</w:t>
      </w:r>
      <w:r w:rsidR="003E1F1B">
        <w:t>fold in the past 20 years</w:t>
      </w:r>
      <w:r w:rsidR="00043329">
        <w:t>, and w</w:t>
      </w:r>
      <w:r w:rsidR="003E1F1B">
        <w:t xml:space="preserve">hile some of these increases can be explained by changes in national reporting practices, the number of dengue cases is expected to continue to rise, with explosive outbreaks in new countries </w:t>
      </w:r>
      <w:r w:rsidR="00972ED7">
        <w:t>(</w:t>
      </w:r>
      <w:r w:rsidR="00043329">
        <w:t>World Health Organization, 2021</w:t>
      </w:r>
      <w:r w:rsidR="00043329">
        <w:t>)</w:t>
      </w:r>
      <w:r w:rsidR="003E1F1B">
        <w:t xml:space="preserve">. </w:t>
      </w:r>
    </w:p>
    <w:p w14:paraId="39CC2540" w14:textId="49BF5736" w:rsidR="00E8579C" w:rsidRDefault="003E1F1B" w:rsidP="00972ED7">
      <w:pPr>
        <w:spacing w:line="480" w:lineRule="auto"/>
        <w:ind w:firstLine="720"/>
        <w:jc w:val="both"/>
      </w:pPr>
      <w:r>
        <w:lastRenderedPageBreak/>
        <w:t xml:space="preserve">Dengue manifests with a high fever and symptoms like headache, joint pain, and rash. </w:t>
      </w:r>
      <w:r w:rsidR="00017546">
        <w:t>Because dengue presents similarly to other diseases, including chikungunya, Zika, malaria, and typhoid fever, it can be difficult to diagnose patients with dengue, however, it is possible to perform a blood test to be certain of infection with one of the four dengue serotypes. Unfortunately, t</w:t>
      </w:r>
      <w:r>
        <w:t xml:space="preserve">here is no present cure for dengue, </w:t>
      </w:r>
      <w:r w:rsidR="00836303">
        <w:t xml:space="preserve">meaning any work averting dengue cases </w:t>
      </w:r>
      <w:r w:rsidR="00043329">
        <w:t>relies on</w:t>
      </w:r>
      <w:r w:rsidR="00836303">
        <w:t xml:space="preserve"> preventative care. </w:t>
      </w:r>
    </w:p>
    <w:p w14:paraId="66082F70" w14:textId="00C6BBAF" w:rsidR="00E8579C" w:rsidRPr="00017546" w:rsidRDefault="00836303">
      <w:r>
        <w:tab/>
      </w:r>
    </w:p>
    <w:p w14:paraId="7BD4FDC8" w14:textId="1CCDECA4" w:rsidR="00836303" w:rsidRDefault="00836303" w:rsidP="009026AB">
      <w:pPr>
        <w:spacing w:line="480" w:lineRule="auto"/>
        <w:jc w:val="both"/>
        <w:rPr>
          <w:b/>
          <w:bCs/>
        </w:rPr>
      </w:pPr>
      <w:r>
        <w:rPr>
          <w:b/>
          <w:bCs/>
        </w:rPr>
        <w:t xml:space="preserve">Overview of Prevention Methods: </w:t>
      </w:r>
    </w:p>
    <w:p w14:paraId="7247FA00" w14:textId="2FB3E726" w:rsidR="00972ED7" w:rsidRDefault="001E5291" w:rsidP="00F47B05">
      <w:pPr>
        <w:spacing w:line="480" w:lineRule="auto"/>
        <w:jc w:val="both"/>
      </w:pPr>
      <w:r>
        <w:rPr>
          <w:b/>
          <w:bCs/>
        </w:rPr>
        <w:tab/>
      </w:r>
      <w:r>
        <w:t xml:space="preserve">There are a couple preventative measures that exist to </w:t>
      </w:r>
      <w:r w:rsidR="00043329">
        <w:t xml:space="preserve">limit </w:t>
      </w:r>
      <w:r>
        <w:t>incidence of dengue: dengue vaccination</w:t>
      </w:r>
      <w:r w:rsidR="00972ED7">
        <w:t xml:space="preserve"> in humans</w:t>
      </w:r>
      <w:r>
        <w:t xml:space="preserve"> and </w:t>
      </w:r>
      <w:proofErr w:type="spellStart"/>
      <w:r w:rsidR="00287C10">
        <w:rPr>
          <w:i/>
          <w:iCs/>
        </w:rPr>
        <w:t>wMel</w:t>
      </w:r>
      <w:proofErr w:type="spellEnd"/>
      <w:r w:rsidR="00287C10">
        <w:rPr>
          <w:i/>
          <w:iCs/>
        </w:rPr>
        <w:t xml:space="preserve"> W</w:t>
      </w:r>
      <w:r w:rsidRPr="00287C10">
        <w:rPr>
          <w:i/>
          <w:iCs/>
        </w:rPr>
        <w:t>olbachia</w:t>
      </w:r>
      <w:r w:rsidR="00287C10">
        <w:t xml:space="preserve"> </w:t>
      </w:r>
      <w:r>
        <w:t xml:space="preserve">infection of </w:t>
      </w:r>
      <w:r w:rsidRPr="001E5291">
        <w:rPr>
          <w:i/>
          <w:iCs/>
        </w:rPr>
        <w:t>Aedes Aegypti</w:t>
      </w:r>
      <w:r>
        <w:t xml:space="preserve"> mosquitoes. The first, and perhaps most used intervention against dengue is the live-attenuated dengue vaccine</w:t>
      </w:r>
      <w:r w:rsidR="00972ED7">
        <w:t>. Traditional vector control methods, including</w:t>
      </w:r>
      <w:r>
        <w:t xml:space="preserve"> the use of insecticide-treated bed nets, </w:t>
      </w:r>
      <w:r w:rsidR="00972ED7">
        <w:t xml:space="preserve">are largely ineffective, as Aedes mosquitoes typically bite during the day (Hawley, 1998 as cited in Tozan et al, 2014). Thus, intervention measures with bed-nets </w:t>
      </w:r>
      <w:r>
        <w:t xml:space="preserve">have </w:t>
      </w:r>
      <w:r w:rsidR="002802CF">
        <w:t xml:space="preserve">generated </w:t>
      </w:r>
      <w:r>
        <w:t>minimal efficacy research</w:t>
      </w:r>
      <w:r w:rsidR="002802CF">
        <w:t xml:space="preserve"> </w:t>
      </w:r>
      <w:r w:rsidR="00A613C4">
        <w:t>efforts</w:t>
      </w:r>
      <w:r w:rsidR="00972ED7">
        <w:t xml:space="preserve"> </w:t>
      </w:r>
      <w:r>
        <w:t>and are thought to have little impact on the spread of dengue disease (</w:t>
      </w:r>
      <w:proofErr w:type="spellStart"/>
      <w:r>
        <w:t>Laydon</w:t>
      </w:r>
      <w:proofErr w:type="spellEnd"/>
      <w:r>
        <w:t xml:space="preserve"> et al, 2021).</w:t>
      </w:r>
      <w:r w:rsidR="007B5AF0">
        <w:t xml:space="preserve"> However, other novel approaches have been proposed to avert DALYs due to dengue, including the use of insecticide treated school uniforms in Thailand, which had an estimated cost effectiveness</w:t>
      </w:r>
      <w:r w:rsidR="00972ED7">
        <w:t xml:space="preserve"> </w:t>
      </w:r>
      <w:r w:rsidR="007B5AF0">
        <w:t xml:space="preserve">of $5,248 per DALY averted in 2012 dollars, or $6,234 per DALY averted in 2018 dollars (Tozan et al, 2014). </w:t>
      </w:r>
      <w:r w:rsidR="00972ED7">
        <w:t xml:space="preserve">The use of larvicides </w:t>
      </w:r>
      <w:r w:rsidR="00F47B05">
        <w:t>and</w:t>
      </w:r>
      <w:r w:rsidR="00972ED7">
        <w:t xml:space="preserve"> adulticide insecticides are also widely used to prevent Aedes-spread arboviruses, however, </w:t>
      </w:r>
      <w:r w:rsidR="00F47B05">
        <w:t>while they can be effective, t</w:t>
      </w:r>
      <w:r w:rsidR="00972ED7" w:rsidRPr="00F47B05">
        <w:t>hese interventions</w:t>
      </w:r>
      <w:r w:rsidR="00F47B05">
        <w:t xml:space="preserve"> can also</w:t>
      </w:r>
      <w:r w:rsidR="00972ED7" w:rsidRPr="00F47B05">
        <w:t xml:space="preserve"> impose negative consequences on the surrounding environment.</w:t>
      </w:r>
      <w:r w:rsidR="00972ED7">
        <w:t xml:space="preserve"> </w:t>
      </w:r>
    </w:p>
    <w:p w14:paraId="4C3A27A5" w14:textId="4ABADAAC" w:rsidR="002802CF" w:rsidRDefault="00F47B05" w:rsidP="00F47B05">
      <w:pPr>
        <w:spacing w:line="480" w:lineRule="auto"/>
        <w:ind w:firstLine="720"/>
        <w:jc w:val="both"/>
      </w:pPr>
      <w:r>
        <w:t xml:space="preserve">For these reasons, dengue vaccination programs have been implemented in many countries to target prevention efforts in children, the population that suffers the most from dengue cases. </w:t>
      </w:r>
      <w:r w:rsidR="001E5291">
        <w:t xml:space="preserve">Though several vaccine candidates are in development, currently, the only licensed vaccine is the </w:t>
      </w:r>
      <w:r w:rsidR="001E5291">
        <w:lastRenderedPageBreak/>
        <w:t xml:space="preserve">Sanofi-Pasteur CYD-TDV, also known as </w:t>
      </w:r>
      <w:proofErr w:type="spellStart"/>
      <w:r w:rsidR="001E5291" w:rsidRPr="00E72A69">
        <w:rPr>
          <w:i/>
          <w:iCs/>
        </w:rPr>
        <w:t>Dengvaxia</w:t>
      </w:r>
      <w:proofErr w:type="spellEnd"/>
      <w:r w:rsidR="001E5291">
        <w:t xml:space="preserve">. This vaccine protects against all 4 serotypes of DENV as it contains structural proteins </w:t>
      </w:r>
      <w:r w:rsidR="00043329">
        <w:t xml:space="preserve">genes </w:t>
      </w:r>
      <w:r w:rsidR="001E5291">
        <w:t>from each (</w:t>
      </w:r>
      <w:proofErr w:type="spellStart"/>
      <w:r w:rsidR="001E5291">
        <w:t>Laydon</w:t>
      </w:r>
      <w:proofErr w:type="spellEnd"/>
      <w:r w:rsidR="001E5291">
        <w:t xml:space="preserve"> et al, 2021). The vaccine is </w:t>
      </w:r>
      <w:r w:rsidR="00DE4DC9">
        <w:t xml:space="preserve">recommended for children ages 9-16 and is administered in 3 doses at months 0, 6, and 12. The dengue vaccine is unique compared to most vaccines in that it is </w:t>
      </w:r>
      <w:r w:rsidR="00043329">
        <w:t xml:space="preserve">only </w:t>
      </w:r>
      <w:r w:rsidR="00DE4DC9">
        <w:t xml:space="preserve">recommended </w:t>
      </w:r>
      <w:r w:rsidR="00043329">
        <w:t>for</w:t>
      </w:r>
      <w:r w:rsidR="00DE4DC9">
        <w:t xml:space="preserve"> those who have already been infected with DENV,</w:t>
      </w:r>
      <w:r w:rsidR="00E72A69">
        <w:t xml:space="preserve"> as</w:t>
      </w:r>
      <w:r w:rsidR="00DE4DC9">
        <w:t xml:space="preserve"> those given the vaccine without previous dengue infection might be at </w:t>
      </w:r>
      <w:r w:rsidR="00043329">
        <w:t>an increased risk of developing severe dengue</w:t>
      </w:r>
      <w:r w:rsidR="00DE4DC9">
        <w:t xml:space="preserve">. This phenomenon was first observed in the Philippines, the first country to introduce </w:t>
      </w:r>
      <w:proofErr w:type="spellStart"/>
      <w:r w:rsidR="00DE4DC9" w:rsidRPr="002802CF">
        <w:rPr>
          <w:i/>
          <w:iCs/>
        </w:rPr>
        <w:t>Dengvaxia</w:t>
      </w:r>
      <w:proofErr w:type="spellEnd"/>
      <w:r w:rsidR="00DE4DC9">
        <w:t xml:space="preserve"> on a large scale, and which saw an excess risk of hospitalization for dengue and severe dengue in vaccinees without</w:t>
      </w:r>
      <w:r w:rsidR="00043329">
        <w:t xml:space="preserve"> prior</w:t>
      </w:r>
      <w:r w:rsidR="00DE4DC9">
        <w:t xml:space="preserve"> DENV infection and </w:t>
      </w:r>
      <w:r w:rsidR="00043329">
        <w:t>ultimately resulted</w:t>
      </w:r>
      <w:r w:rsidR="00DE4DC9">
        <w:t xml:space="preserve"> in the suspension of the </w:t>
      </w:r>
      <w:proofErr w:type="spellStart"/>
      <w:r w:rsidR="00DE4DC9" w:rsidRPr="002802CF">
        <w:rPr>
          <w:i/>
          <w:iCs/>
        </w:rPr>
        <w:t>Dengvaxia</w:t>
      </w:r>
      <w:proofErr w:type="spellEnd"/>
      <w:r w:rsidR="00DE4DC9">
        <w:t xml:space="preserve"> program (Wilder-Smith et al, 2019).</w:t>
      </w:r>
      <w:r w:rsidR="002802CF">
        <w:t xml:space="preserve"> While vaccination against dengue can provide some protection to children, who usually bear the largest burden of dengue cases, the vaccine is limited in the protection it offers, especially in that it provides no </w:t>
      </w:r>
      <w:r w:rsidR="00BC6D6E">
        <w:t>shielding</w:t>
      </w:r>
      <w:r w:rsidR="002802CF">
        <w:t xml:space="preserve"> against dengue-naïve individuals. Alternative interventions, therefore, are integral to the success of dengue prevention. </w:t>
      </w:r>
    </w:p>
    <w:p w14:paraId="43A525C4" w14:textId="422E952B" w:rsidR="002802CF" w:rsidRPr="002802CF" w:rsidRDefault="002802CF" w:rsidP="00F47B05">
      <w:pPr>
        <w:spacing w:line="480" w:lineRule="auto"/>
        <w:ind w:firstLine="720"/>
        <w:jc w:val="both"/>
      </w:pPr>
      <w:r>
        <w:t xml:space="preserve">One such novel approach is </w:t>
      </w:r>
      <w:r w:rsidR="00BC6D6E">
        <w:t>to</w:t>
      </w:r>
      <w:r>
        <w:t xml:space="preserve"> use </w:t>
      </w:r>
      <w:proofErr w:type="spellStart"/>
      <w:r w:rsidR="00287C10">
        <w:rPr>
          <w:i/>
          <w:iCs/>
        </w:rPr>
        <w:t>wMel</w:t>
      </w:r>
      <w:proofErr w:type="spellEnd"/>
      <w:r w:rsidR="00287C10">
        <w:rPr>
          <w:i/>
          <w:iCs/>
        </w:rPr>
        <w:t xml:space="preserve"> W</w:t>
      </w:r>
      <w:r w:rsidRPr="002802CF">
        <w:rPr>
          <w:i/>
          <w:iCs/>
        </w:rPr>
        <w:t>olbachia</w:t>
      </w:r>
      <w:r>
        <w:t xml:space="preserve"> </w:t>
      </w:r>
      <w:r w:rsidR="00BC6D6E">
        <w:t xml:space="preserve">bacteria </w:t>
      </w:r>
      <w:r>
        <w:t xml:space="preserve">to infect populations of </w:t>
      </w:r>
      <w:r w:rsidRPr="002802CF">
        <w:rPr>
          <w:i/>
          <w:iCs/>
        </w:rPr>
        <w:t>Aedes aegypti</w:t>
      </w:r>
      <w:r>
        <w:t xml:space="preserve">. </w:t>
      </w:r>
      <w:proofErr w:type="spellStart"/>
      <w:r w:rsidR="00287C10">
        <w:rPr>
          <w:i/>
          <w:iCs/>
        </w:rPr>
        <w:t>wMel</w:t>
      </w:r>
      <w:proofErr w:type="spellEnd"/>
      <w:r w:rsidR="00287C10">
        <w:rPr>
          <w:i/>
          <w:iCs/>
        </w:rPr>
        <w:t xml:space="preserve"> W</w:t>
      </w:r>
      <w:r w:rsidRPr="002802CF">
        <w:rPr>
          <w:i/>
          <w:iCs/>
        </w:rPr>
        <w:t>olbachia</w:t>
      </w:r>
      <w:r>
        <w:t xml:space="preserve"> infection limits a mosquito’s ability to transmit dengue, chikungunya, Zika, and yellow fever virus</w:t>
      </w:r>
      <w:r w:rsidR="00F47B05">
        <w:t xml:space="preserve">, </w:t>
      </w:r>
      <w:r>
        <w:t xml:space="preserve">and infected mosquitoes can suppress </w:t>
      </w:r>
      <w:r w:rsidR="00F47B05">
        <w:t xml:space="preserve">and replace </w:t>
      </w:r>
      <w:r>
        <w:t>the natural, non-infected population (</w:t>
      </w:r>
      <w:proofErr w:type="spellStart"/>
      <w:r w:rsidR="00F47B05">
        <w:t>Aliota</w:t>
      </w:r>
      <w:proofErr w:type="spellEnd"/>
      <w:r w:rsidR="00F47B05">
        <w:t xml:space="preserve"> et al, 2016, Van den </w:t>
      </w:r>
      <w:proofErr w:type="spellStart"/>
      <w:r w:rsidR="00F47B05">
        <w:t>Hurk</w:t>
      </w:r>
      <w:proofErr w:type="spellEnd"/>
      <w:r w:rsidR="00F47B05">
        <w:t>, 2012, and Walker et al, 2011, as cited in Brady, 2020</w:t>
      </w:r>
      <w:r>
        <w:t xml:space="preserve">). The World Mosquito Program (WMP) is using these features of </w:t>
      </w:r>
      <w:proofErr w:type="spellStart"/>
      <w:r w:rsidR="00287C10">
        <w:rPr>
          <w:i/>
          <w:iCs/>
        </w:rPr>
        <w:t>wMel</w:t>
      </w:r>
      <w:proofErr w:type="spellEnd"/>
      <w:r w:rsidR="00287C10">
        <w:rPr>
          <w:i/>
          <w:iCs/>
        </w:rPr>
        <w:t xml:space="preserve"> W</w:t>
      </w:r>
      <w:r w:rsidRPr="00287C10">
        <w:rPr>
          <w:i/>
          <w:iCs/>
        </w:rPr>
        <w:t>olbachia</w:t>
      </w:r>
      <w:r>
        <w:t xml:space="preserve"> infection to their advantage by implementing mosquito replacement programs in 11 countries around the world, including Brazil, Colombia, and Indonesia (</w:t>
      </w:r>
      <w:r w:rsidR="00F47B05">
        <w:t>World Mosquito Program, 2021</w:t>
      </w:r>
      <w:r>
        <w:t xml:space="preserve">). </w:t>
      </w:r>
      <w:r w:rsidR="00F47B05">
        <w:t>Wolbachia implementations pose negligible risk to humans and the environment while also reducing disease transmission</w:t>
      </w:r>
      <w:r w:rsidR="007B5AF0">
        <w:t>, and in controlled trials, these implementations have had a protective efficacy of 77% against all dengue serotypes (</w:t>
      </w:r>
      <w:proofErr w:type="spellStart"/>
      <w:r w:rsidR="007B5AF0">
        <w:t>Utarini</w:t>
      </w:r>
      <w:proofErr w:type="spellEnd"/>
      <w:r w:rsidR="007B5AF0">
        <w:t xml:space="preserve"> et al, 2021)</w:t>
      </w:r>
      <w:r w:rsidR="00F47B05">
        <w:t xml:space="preserve">. </w:t>
      </w:r>
      <w:r>
        <w:t>While these mosquito-</w:t>
      </w:r>
      <w:r>
        <w:lastRenderedPageBreak/>
        <w:t xml:space="preserve">replacement programs require large initial investments, once established, the replaced mosquito populations are self-sustained and can provide valuable long-term benefits without additional interventions. </w:t>
      </w:r>
    </w:p>
    <w:p w14:paraId="4F95E4DB" w14:textId="77777777" w:rsidR="001E5291" w:rsidRPr="001E5291" w:rsidRDefault="001E5291"/>
    <w:p w14:paraId="776FA25D" w14:textId="782BC742" w:rsidR="00E8579C" w:rsidRDefault="00E8579C" w:rsidP="006476BB">
      <w:pPr>
        <w:spacing w:line="480" w:lineRule="auto"/>
        <w:jc w:val="both"/>
        <w:rPr>
          <w:b/>
          <w:bCs/>
        </w:rPr>
      </w:pPr>
      <w:r>
        <w:rPr>
          <w:b/>
          <w:bCs/>
        </w:rPr>
        <w:t xml:space="preserve">Rational for Indonesia as a Proxy for </w:t>
      </w:r>
      <w:r w:rsidR="003E1F1B">
        <w:rPr>
          <w:b/>
          <w:bCs/>
        </w:rPr>
        <w:t>Thailand</w:t>
      </w:r>
      <w:r>
        <w:rPr>
          <w:b/>
          <w:bCs/>
        </w:rPr>
        <w:t xml:space="preserve">: </w:t>
      </w:r>
    </w:p>
    <w:p w14:paraId="59428F15" w14:textId="779F8EB6" w:rsidR="0013144B" w:rsidRDefault="002802CF" w:rsidP="007B5AF0">
      <w:pPr>
        <w:spacing w:line="480" w:lineRule="auto"/>
        <w:jc w:val="both"/>
      </w:pPr>
      <w:r>
        <w:rPr>
          <w:b/>
          <w:bCs/>
        </w:rPr>
        <w:tab/>
      </w:r>
      <w:r>
        <w:t xml:space="preserve">Both Indonesia and Thailand experience a relatively high prevalence of dengue, and implementation efforts in Indonesia can be used to guide those in nearby Thailand. </w:t>
      </w:r>
      <w:r w:rsidR="002855B3">
        <w:t xml:space="preserve">Both countries are in Southeast Asia, </w:t>
      </w:r>
      <w:r w:rsidR="00F47B05">
        <w:t xml:space="preserve">which experiences most dengue cases worldwide, however </w:t>
      </w:r>
      <w:r w:rsidR="002855B3">
        <w:t>Indonesia experiences a greater burden of dengue compared to Thailand (0.84% of total DALYs compared to 0.09% of total DALYs, respectively)</w:t>
      </w:r>
      <w:r w:rsidR="006476BB">
        <w:t xml:space="preserve"> (IHME, 2021)</w:t>
      </w:r>
      <w:r w:rsidR="002855B3">
        <w:t xml:space="preserve">. The prevalence of dengue in the population, </w:t>
      </w:r>
      <w:r w:rsidR="00454166">
        <w:t>is similar overall between the two countries, with Indonesia having a slightly higher prevalence per 100,000 than Thailand (61.05 compared to 59.88, respectively)</w:t>
      </w:r>
      <w:r w:rsidR="00BC6D6E">
        <w:t xml:space="preserve">, as seen in </w:t>
      </w:r>
      <w:r w:rsidR="00BC6D6E" w:rsidRPr="00BC6D6E">
        <w:rPr>
          <w:b/>
          <w:bCs/>
        </w:rPr>
        <w:t>Table 1</w:t>
      </w:r>
      <w:r w:rsidR="00454166">
        <w:t xml:space="preserve">. </w:t>
      </w:r>
      <w:r w:rsidR="002855B3">
        <w:t xml:space="preserve">  </w:t>
      </w:r>
    </w:p>
    <w:p w14:paraId="73D51707" w14:textId="69E09547" w:rsidR="002855B3" w:rsidRDefault="00425D4B" w:rsidP="007B5AF0">
      <w:pPr>
        <w:spacing w:line="480" w:lineRule="auto"/>
        <w:jc w:val="both"/>
      </w:pPr>
      <w:r>
        <w:rPr>
          <w:b/>
          <w:bCs/>
        </w:rPr>
        <w:t>Tabl</w:t>
      </w:r>
      <w:r w:rsidR="002855B3" w:rsidRPr="002855B3">
        <w:rPr>
          <w:b/>
          <w:bCs/>
        </w:rPr>
        <w:t>e 1</w:t>
      </w:r>
      <w:r w:rsidR="002855B3">
        <w:t xml:space="preserve">: </w:t>
      </w:r>
      <w:r w:rsidR="002855B3" w:rsidRPr="00BC6D6E">
        <w:rPr>
          <w:b/>
          <w:bCs/>
        </w:rPr>
        <w:t>Dengue Prevalence for both sexes (</w:t>
      </w:r>
      <w:r w:rsidR="00454166" w:rsidRPr="00BC6D6E">
        <w:rPr>
          <w:b/>
          <w:bCs/>
        </w:rPr>
        <w:t>per 100,000</w:t>
      </w:r>
      <w:r w:rsidR="002855B3" w:rsidRPr="00BC6D6E">
        <w:rPr>
          <w:b/>
          <w:bCs/>
        </w:rPr>
        <w:t>), IHME 2019</w:t>
      </w:r>
    </w:p>
    <w:tbl>
      <w:tblPr>
        <w:tblStyle w:val="TableGrid"/>
        <w:tblW w:w="9835" w:type="dxa"/>
        <w:tblLook w:val="04A0" w:firstRow="1" w:lastRow="0" w:firstColumn="1" w:lastColumn="0" w:noHBand="0" w:noVBand="1"/>
      </w:tblPr>
      <w:tblGrid>
        <w:gridCol w:w="3188"/>
        <w:gridCol w:w="3305"/>
        <w:gridCol w:w="3342"/>
      </w:tblGrid>
      <w:tr w:rsidR="002855B3" w14:paraId="2E62E90D" w14:textId="77777777" w:rsidTr="00F47B05">
        <w:trPr>
          <w:trHeight w:val="256"/>
        </w:trPr>
        <w:tc>
          <w:tcPr>
            <w:tcW w:w="3188" w:type="dxa"/>
            <w:tcBorders>
              <w:bottom w:val="single" w:sz="18" w:space="0" w:color="auto"/>
            </w:tcBorders>
          </w:tcPr>
          <w:p w14:paraId="50E15DB4" w14:textId="5DD3AD58" w:rsidR="002855B3" w:rsidRPr="00F47B05" w:rsidRDefault="00F47B05" w:rsidP="00F47B05">
            <w:pPr>
              <w:rPr>
                <w:b/>
                <w:bCs/>
              </w:rPr>
            </w:pPr>
            <w:r w:rsidRPr="00F47B05">
              <w:rPr>
                <w:b/>
                <w:bCs/>
              </w:rPr>
              <w:t xml:space="preserve">Age-Group </w:t>
            </w:r>
          </w:p>
        </w:tc>
        <w:tc>
          <w:tcPr>
            <w:tcW w:w="3305" w:type="dxa"/>
            <w:tcBorders>
              <w:bottom w:val="single" w:sz="18" w:space="0" w:color="auto"/>
            </w:tcBorders>
          </w:tcPr>
          <w:p w14:paraId="70D4AD76" w14:textId="77777777" w:rsidR="002855B3" w:rsidRPr="00F47B05" w:rsidRDefault="002855B3" w:rsidP="00F47B05">
            <w:pPr>
              <w:rPr>
                <w:b/>
                <w:bCs/>
              </w:rPr>
            </w:pPr>
            <w:r w:rsidRPr="00F47B05">
              <w:rPr>
                <w:b/>
                <w:bCs/>
              </w:rPr>
              <w:t>Thailand</w:t>
            </w:r>
          </w:p>
        </w:tc>
        <w:tc>
          <w:tcPr>
            <w:tcW w:w="3342" w:type="dxa"/>
            <w:tcBorders>
              <w:bottom w:val="single" w:sz="18" w:space="0" w:color="auto"/>
            </w:tcBorders>
          </w:tcPr>
          <w:p w14:paraId="2A0F775D" w14:textId="77777777" w:rsidR="002855B3" w:rsidRPr="00F47B05" w:rsidRDefault="002855B3" w:rsidP="00F47B05">
            <w:pPr>
              <w:rPr>
                <w:b/>
                <w:bCs/>
              </w:rPr>
            </w:pPr>
            <w:r w:rsidRPr="00F47B05">
              <w:rPr>
                <w:b/>
                <w:bCs/>
              </w:rPr>
              <w:t>Indonesia</w:t>
            </w:r>
          </w:p>
        </w:tc>
      </w:tr>
      <w:tr w:rsidR="002855B3" w14:paraId="32D1DD89" w14:textId="77777777" w:rsidTr="00F47B05">
        <w:trPr>
          <w:trHeight w:val="256"/>
        </w:trPr>
        <w:tc>
          <w:tcPr>
            <w:tcW w:w="3188" w:type="dxa"/>
            <w:tcBorders>
              <w:top w:val="single" w:sz="18" w:space="0" w:color="auto"/>
            </w:tcBorders>
          </w:tcPr>
          <w:p w14:paraId="23936F64" w14:textId="77777777" w:rsidR="002855B3" w:rsidRDefault="002855B3" w:rsidP="00F47B05">
            <w:r>
              <w:t>Under 5</w:t>
            </w:r>
          </w:p>
        </w:tc>
        <w:tc>
          <w:tcPr>
            <w:tcW w:w="3305" w:type="dxa"/>
            <w:tcBorders>
              <w:top w:val="single" w:sz="18" w:space="0" w:color="auto"/>
            </w:tcBorders>
          </w:tcPr>
          <w:p w14:paraId="6A2516BC" w14:textId="4EC25875" w:rsidR="002855B3" w:rsidRDefault="00454166" w:rsidP="00F47B05">
            <w:r>
              <w:t>47.18</w:t>
            </w:r>
          </w:p>
        </w:tc>
        <w:tc>
          <w:tcPr>
            <w:tcW w:w="3342" w:type="dxa"/>
            <w:tcBorders>
              <w:top w:val="single" w:sz="18" w:space="0" w:color="auto"/>
            </w:tcBorders>
          </w:tcPr>
          <w:p w14:paraId="2BE6081C" w14:textId="5A5106AA" w:rsidR="002855B3" w:rsidRDefault="00454166" w:rsidP="00F47B05">
            <w:r>
              <w:t>38.58</w:t>
            </w:r>
          </w:p>
        </w:tc>
      </w:tr>
      <w:tr w:rsidR="002855B3" w14:paraId="1C4D5773" w14:textId="77777777" w:rsidTr="00F47B05">
        <w:trPr>
          <w:trHeight w:val="245"/>
        </w:trPr>
        <w:tc>
          <w:tcPr>
            <w:tcW w:w="3188" w:type="dxa"/>
          </w:tcPr>
          <w:p w14:paraId="382C8F8F" w14:textId="77777777" w:rsidR="002855B3" w:rsidRDefault="002855B3" w:rsidP="00F47B05">
            <w:r>
              <w:t>5-9</w:t>
            </w:r>
          </w:p>
        </w:tc>
        <w:tc>
          <w:tcPr>
            <w:tcW w:w="3305" w:type="dxa"/>
          </w:tcPr>
          <w:p w14:paraId="208C4308" w14:textId="665028F2" w:rsidR="002855B3" w:rsidRDefault="00454166" w:rsidP="00F47B05">
            <w:r>
              <w:t>77.75</w:t>
            </w:r>
          </w:p>
        </w:tc>
        <w:tc>
          <w:tcPr>
            <w:tcW w:w="3342" w:type="dxa"/>
          </w:tcPr>
          <w:p w14:paraId="3FF45AD4" w14:textId="132F4BCC" w:rsidR="002855B3" w:rsidRDefault="00454166" w:rsidP="00F47B05">
            <w:r>
              <w:t>70.19</w:t>
            </w:r>
          </w:p>
        </w:tc>
      </w:tr>
      <w:tr w:rsidR="002855B3" w14:paraId="2F2576F7" w14:textId="77777777" w:rsidTr="00F47B05">
        <w:trPr>
          <w:trHeight w:val="256"/>
        </w:trPr>
        <w:tc>
          <w:tcPr>
            <w:tcW w:w="3188" w:type="dxa"/>
          </w:tcPr>
          <w:p w14:paraId="5E20A7D9" w14:textId="77777777" w:rsidR="002855B3" w:rsidRDefault="002855B3" w:rsidP="00F47B05">
            <w:r>
              <w:t>10-14</w:t>
            </w:r>
          </w:p>
        </w:tc>
        <w:tc>
          <w:tcPr>
            <w:tcW w:w="3305" w:type="dxa"/>
          </w:tcPr>
          <w:p w14:paraId="25D41E34" w14:textId="1E28A97E" w:rsidR="002855B3" w:rsidRDefault="00454166" w:rsidP="00F47B05">
            <w:r>
              <w:t>92.94</w:t>
            </w:r>
          </w:p>
        </w:tc>
        <w:tc>
          <w:tcPr>
            <w:tcW w:w="3342" w:type="dxa"/>
          </w:tcPr>
          <w:p w14:paraId="559779B8" w14:textId="0F81727C" w:rsidR="002855B3" w:rsidRDefault="00454166" w:rsidP="00F47B05">
            <w:r>
              <w:t>78.21</w:t>
            </w:r>
          </w:p>
        </w:tc>
      </w:tr>
      <w:tr w:rsidR="002855B3" w14:paraId="77F5645C" w14:textId="77777777" w:rsidTr="00F47B05">
        <w:trPr>
          <w:trHeight w:val="256"/>
        </w:trPr>
        <w:tc>
          <w:tcPr>
            <w:tcW w:w="3188" w:type="dxa"/>
          </w:tcPr>
          <w:p w14:paraId="4B51A384" w14:textId="77777777" w:rsidR="002855B3" w:rsidRDefault="002855B3" w:rsidP="00F47B05">
            <w:r>
              <w:t>15-49</w:t>
            </w:r>
          </w:p>
        </w:tc>
        <w:tc>
          <w:tcPr>
            <w:tcW w:w="3305" w:type="dxa"/>
          </w:tcPr>
          <w:p w14:paraId="15FAEB3A" w14:textId="3CADB883" w:rsidR="002855B3" w:rsidRDefault="00454166" w:rsidP="00F47B05">
            <w:r>
              <w:t>63.97</w:t>
            </w:r>
          </w:p>
        </w:tc>
        <w:tc>
          <w:tcPr>
            <w:tcW w:w="3342" w:type="dxa"/>
          </w:tcPr>
          <w:p w14:paraId="561ED59A" w14:textId="01C7FF50" w:rsidR="002855B3" w:rsidRDefault="00454166" w:rsidP="00F47B05">
            <w:r>
              <w:t>60.68</w:t>
            </w:r>
          </w:p>
        </w:tc>
      </w:tr>
      <w:tr w:rsidR="002855B3" w14:paraId="296B9DD9" w14:textId="77777777" w:rsidTr="00F47B05">
        <w:trPr>
          <w:trHeight w:val="256"/>
        </w:trPr>
        <w:tc>
          <w:tcPr>
            <w:tcW w:w="3188" w:type="dxa"/>
          </w:tcPr>
          <w:p w14:paraId="1C182173" w14:textId="77777777" w:rsidR="002855B3" w:rsidRDefault="002855B3" w:rsidP="00F47B05">
            <w:r>
              <w:t>50-74</w:t>
            </w:r>
          </w:p>
        </w:tc>
        <w:tc>
          <w:tcPr>
            <w:tcW w:w="3305" w:type="dxa"/>
          </w:tcPr>
          <w:p w14:paraId="64C7EE59" w14:textId="01E1164B" w:rsidR="002855B3" w:rsidRDefault="00454166" w:rsidP="00F47B05">
            <w:r>
              <w:t>44.80</w:t>
            </w:r>
          </w:p>
        </w:tc>
        <w:tc>
          <w:tcPr>
            <w:tcW w:w="3342" w:type="dxa"/>
          </w:tcPr>
          <w:p w14:paraId="650FC7A9" w14:textId="31884FED" w:rsidR="002855B3" w:rsidRDefault="00454166" w:rsidP="00F47B05">
            <w:r>
              <w:t>55.76</w:t>
            </w:r>
          </w:p>
        </w:tc>
      </w:tr>
      <w:tr w:rsidR="002855B3" w14:paraId="7357EEEA" w14:textId="77777777" w:rsidTr="00F47B05">
        <w:trPr>
          <w:trHeight w:val="287"/>
        </w:trPr>
        <w:tc>
          <w:tcPr>
            <w:tcW w:w="3188" w:type="dxa"/>
          </w:tcPr>
          <w:p w14:paraId="2093668D" w14:textId="77777777" w:rsidR="002855B3" w:rsidRDefault="002855B3" w:rsidP="00F47B05">
            <w:r>
              <w:t>All Ages</w:t>
            </w:r>
          </w:p>
        </w:tc>
        <w:tc>
          <w:tcPr>
            <w:tcW w:w="3305" w:type="dxa"/>
          </w:tcPr>
          <w:p w14:paraId="51D1E518" w14:textId="220FA8E2" w:rsidR="002855B3" w:rsidRDefault="00454166" w:rsidP="00F47B05">
            <w:r>
              <w:t>59.88</w:t>
            </w:r>
          </w:p>
        </w:tc>
        <w:tc>
          <w:tcPr>
            <w:tcW w:w="3342" w:type="dxa"/>
          </w:tcPr>
          <w:p w14:paraId="7C4EBA8F" w14:textId="5B7959F6" w:rsidR="002855B3" w:rsidRDefault="00454166" w:rsidP="00F47B05">
            <w:r>
              <w:t>61.05</w:t>
            </w:r>
          </w:p>
        </w:tc>
      </w:tr>
    </w:tbl>
    <w:p w14:paraId="106E558F" w14:textId="1E1FA019" w:rsidR="002855B3" w:rsidRDefault="002855B3"/>
    <w:p w14:paraId="1784FC96" w14:textId="3F32D547" w:rsidR="0013144B" w:rsidRDefault="002855B3" w:rsidP="00003273">
      <w:pPr>
        <w:spacing w:line="480" w:lineRule="auto"/>
        <w:ind w:firstLine="720"/>
        <w:jc w:val="both"/>
      </w:pPr>
      <w:r>
        <w:t>Thailand and Indonesia are also similar in other indicators. Thailand has a slightly higher life expectancy compared to Indonesia (77.15 compared to 71.716, respectively) (</w:t>
      </w:r>
      <w:r w:rsidR="006476BB">
        <w:t>World Bank, 2019</w:t>
      </w:r>
      <w:r>
        <w:t>)</w:t>
      </w:r>
      <w:r w:rsidR="00BC6D6E">
        <w:t xml:space="preserve"> and </w:t>
      </w:r>
      <w:r w:rsidR="00BC6D6E">
        <w:t>experiences a smaller GBD than Indonesia, with 17,539.50 Years of Life Lost (YLL) per 100,000 in 2019 compared to Indonesia’s 19,844.05 YLL (IHME, 2021).</w:t>
      </w:r>
      <w:r w:rsidR="00F47B05">
        <w:t xml:space="preserve"> </w:t>
      </w:r>
      <w:r w:rsidR="00D73CDC" w:rsidRPr="00F47B05">
        <w:t>Thailand’s</w:t>
      </w:r>
      <w:r w:rsidRPr="00F47B05">
        <w:t xml:space="preserve"> Healthcare Access and Quality (HAQ) index</w:t>
      </w:r>
      <w:r w:rsidR="00FD5034" w:rsidRPr="00F47B05">
        <w:t xml:space="preserve"> is also higher than that of Indonesia (69.5</w:t>
      </w:r>
      <w:r w:rsidR="00D73CDC" w:rsidRPr="00F47B05">
        <w:t xml:space="preserve"> and </w:t>
      </w:r>
      <w:r w:rsidR="00FD5034" w:rsidRPr="00F47B05">
        <w:t>44.5</w:t>
      </w:r>
      <w:r w:rsidR="00D73CDC" w:rsidRPr="00F47B05">
        <w:t>, respectively)</w:t>
      </w:r>
      <w:r w:rsidRPr="00F47B05">
        <w:t>, according to the 2016 IHME GBD study (</w:t>
      </w:r>
      <w:proofErr w:type="spellStart"/>
      <w:r w:rsidR="00FD5034" w:rsidRPr="00F47B05">
        <w:t>Fullman</w:t>
      </w:r>
      <w:proofErr w:type="spellEnd"/>
      <w:r w:rsidR="00FD5034" w:rsidRPr="00F47B05">
        <w:t xml:space="preserve"> et al, 2018</w:t>
      </w:r>
      <w:r w:rsidRPr="00CD05D3">
        <w:t>)</w:t>
      </w:r>
      <w:r w:rsidR="00FD5034" w:rsidRPr="00CD05D3">
        <w:t xml:space="preserve">. </w:t>
      </w:r>
      <w:r w:rsidR="00F47B05" w:rsidRPr="00CD05D3">
        <w:t>In terms of dengue-</w:t>
      </w:r>
      <w:r w:rsidR="00F47B05" w:rsidRPr="00CD05D3">
        <w:lastRenderedPageBreak/>
        <w:t xml:space="preserve">specific indicators, Indonesia lost </w:t>
      </w:r>
      <w:r w:rsidR="00CD05D3">
        <w:t>249.55</w:t>
      </w:r>
      <w:r w:rsidR="00F47B05" w:rsidRPr="00CD05D3">
        <w:t xml:space="preserve"> DALYs to dengue per 100,000 in 2019, while Thailand lost </w:t>
      </w:r>
      <w:r w:rsidR="00CD05D3">
        <w:t>only 27.07</w:t>
      </w:r>
      <w:r w:rsidR="00F47B05" w:rsidRPr="00CD05D3">
        <w:t>.</w:t>
      </w:r>
      <w:r w:rsidR="00CD05D3">
        <w:t xml:space="preserve"> </w:t>
      </w:r>
      <w:r w:rsidR="00425D4B">
        <w:t xml:space="preserve">Other development indicators from 2019 are included in </w:t>
      </w:r>
      <w:r w:rsidR="00425D4B" w:rsidRPr="00425D4B">
        <w:rPr>
          <w:b/>
          <w:bCs/>
        </w:rPr>
        <w:t>Table 2</w:t>
      </w:r>
      <w:r w:rsidR="00425D4B">
        <w:t xml:space="preserve">. </w:t>
      </w:r>
      <w:r w:rsidR="00F47B05">
        <w:t xml:space="preserve">These factors combined make Indonesia a useful proxy country for program implementations in Thailand. </w:t>
      </w:r>
    </w:p>
    <w:p w14:paraId="5FB2D363" w14:textId="53F26A3B" w:rsidR="00425D4B" w:rsidRPr="00BC6D6E" w:rsidRDefault="00425D4B" w:rsidP="007B5AF0">
      <w:pPr>
        <w:spacing w:line="480" w:lineRule="auto"/>
        <w:jc w:val="both"/>
        <w:rPr>
          <w:b/>
          <w:bCs/>
        </w:rPr>
      </w:pPr>
      <w:r w:rsidRPr="00425D4B">
        <w:rPr>
          <w:b/>
          <w:bCs/>
        </w:rPr>
        <w:t>Table 2</w:t>
      </w:r>
      <w:r>
        <w:t xml:space="preserve">: </w:t>
      </w:r>
      <w:r w:rsidRPr="00BC6D6E">
        <w:rPr>
          <w:b/>
          <w:bCs/>
        </w:rPr>
        <w:t>Comparison of Development indicators for Thailand and Indonesia, 2019</w:t>
      </w:r>
    </w:p>
    <w:tbl>
      <w:tblPr>
        <w:tblStyle w:val="TableGrid"/>
        <w:tblW w:w="0" w:type="auto"/>
        <w:tblLook w:val="04A0" w:firstRow="1" w:lastRow="0" w:firstColumn="1" w:lastColumn="0" w:noHBand="0" w:noVBand="1"/>
      </w:tblPr>
      <w:tblGrid>
        <w:gridCol w:w="3116"/>
        <w:gridCol w:w="3117"/>
        <w:gridCol w:w="3117"/>
      </w:tblGrid>
      <w:tr w:rsidR="00425D4B" w:rsidRPr="00425D4B" w14:paraId="119FD13A" w14:textId="77777777" w:rsidTr="00425D4B">
        <w:tc>
          <w:tcPr>
            <w:tcW w:w="3116" w:type="dxa"/>
            <w:tcBorders>
              <w:bottom w:val="single" w:sz="18" w:space="0" w:color="auto"/>
            </w:tcBorders>
          </w:tcPr>
          <w:p w14:paraId="64CF6EB9" w14:textId="1E7415E7" w:rsidR="00425D4B" w:rsidRPr="00425D4B" w:rsidRDefault="00CD05D3" w:rsidP="00425D4B">
            <w:pPr>
              <w:rPr>
                <w:b/>
                <w:bCs/>
              </w:rPr>
            </w:pPr>
            <w:r>
              <w:rPr>
                <w:b/>
                <w:bCs/>
              </w:rPr>
              <w:t>Development Indicators</w:t>
            </w:r>
          </w:p>
        </w:tc>
        <w:tc>
          <w:tcPr>
            <w:tcW w:w="3117" w:type="dxa"/>
            <w:tcBorders>
              <w:bottom w:val="single" w:sz="18" w:space="0" w:color="auto"/>
            </w:tcBorders>
          </w:tcPr>
          <w:p w14:paraId="04D79410" w14:textId="708F845C" w:rsidR="00425D4B" w:rsidRPr="00425D4B" w:rsidRDefault="00425D4B" w:rsidP="00425D4B">
            <w:pPr>
              <w:rPr>
                <w:b/>
                <w:bCs/>
              </w:rPr>
            </w:pPr>
            <w:r w:rsidRPr="00425D4B">
              <w:rPr>
                <w:b/>
                <w:bCs/>
              </w:rPr>
              <w:t>Thailand</w:t>
            </w:r>
          </w:p>
        </w:tc>
        <w:tc>
          <w:tcPr>
            <w:tcW w:w="3117" w:type="dxa"/>
            <w:tcBorders>
              <w:bottom w:val="single" w:sz="18" w:space="0" w:color="auto"/>
            </w:tcBorders>
          </w:tcPr>
          <w:p w14:paraId="5D57F005" w14:textId="217DD945" w:rsidR="00425D4B" w:rsidRPr="00425D4B" w:rsidRDefault="00425D4B" w:rsidP="00425D4B">
            <w:pPr>
              <w:rPr>
                <w:b/>
                <w:bCs/>
              </w:rPr>
            </w:pPr>
            <w:r w:rsidRPr="00425D4B">
              <w:rPr>
                <w:b/>
                <w:bCs/>
              </w:rPr>
              <w:t>Indonesia</w:t>
            </w:r>
          </w:p>
        </w:tc>
      </w:tr>
      <w:tr w:rsidR="00425D4B" w14:paraId="345F8120" w14:textId="77777777" w:rsidTr="00425D4B">
        <w:tc>
          <w:tcPr>
            <w:tcW w:w="3116" w:type="dxa"/>
            <w:tcBorders>
              <w:top w:val="single" w:sz="18" w:space="0" w:color="auto"/>
            </w:tcBorders>
          </w:tcPr>
          <w:p w14:paraId="3B2A56A4" w14:textId="29358630" w:rsidR="00425D4B" w:rsidRDefault="00425D4B" w:rsidP="00425D4B">
            <w:r>
              <w:t xml:space="preserve">Population </w:t>
            </w:r>
            <w:r w:rsidR="00BC6D6E" w:rsidRPr="00BC6D6E">
              <w:rPr>
                <w:sz w:val="21"/>
                <w:szCs w:val="21"/>
              </w:rPr>
              <w:t>(World Bank)</w:t>
            </w:r>
          </w:p>
        </w:tc>
        <w:tc>
          <w:tcPr>
            <w:tcW w:w="3117" w:type="dxa"/>
            <w:tcBorders>
              <w:top w:val="single" w:sz="18" w:space="0" w:color="auto"/>
            </w:tcBorders>
          </w:tcPr>
          <w:p w14:paraId="624AB0BC" w14:textId="701FEC1E" w:rsidR="00425D4B" w:rsidRDefault="00425D4B" w:rsidP="00425D4B">
            <w:r>
              <w:t>69,625,581</w:t>
            </w:r>
          </w:p>
        </w:tc>
        <w:tc>
          <w:tcPr>
            <w:tcW w:w="3117" w:type="dxa"/>
            <w:tcBorders>
              <w:top w:val="single" w:sz="18" w:space="0" w:color="auto"/>
            </w:tcBorders>
          </w:tcPr>
          <w:p w14:paraId="666B105C" w14:textId="13B21EB5" w:rsidR="00425D4B" w:rsidRDefault="00425D4B" w:rsidP="00425D4B">
            <w:r>
              <w:t>270,625,567</w:t>
            </w:r>
          </w:p>
        </w:tc>
      </w:tr>
      <w:tr w:rsidR="00425D4B" w14:paraId="65BD00BC" w14:textId="77777777" w:rsidTr="00425D4B">
        <w:tc>
          <w:tcPr>
            <w:tcW w:w="3116" w:type="dxa"/>
          </w:tcPr>
          <w:p w14:paraId="4EE96B16" w14:textId="5F5D86A6" w:rsidR="00425D4B" w:rsidRDefault="00425D4B" w:rsidP="00425D4B">
            <w:r>
              <w:t xml:space="preserve">Life Expectancy </w:t>
            </w:r>
            <w:r w:rsidR="00CD05D3">
              <w:t>at birth</w:t>
            </w:r>
            <w:r w:rsidR="00BC6D6E">
              <w:t xml:space="preserve"> </w:t>
            </w:r>
            <w:r w:rsidR="00BC6D6E" w:rsidRPr="00BC6D6E">
              <w:rPr>
                <w:sz w:val="21"/>
                <w:szCs w:val="21"/>
              </w:rPr>
              <w:t>(World Bank)</w:t>
            </w:r>
          </w:p>
        </w:tc>
        <w:tc>
          <w:tcPr>
            <w:tcW w:w="3117" w:type="dxa"/>
          </w:tcPr>
          <w:p w14:paraId="6BBE0940" w14:textId="14BB29F1" w:rsidR="00425D4B" w:rsidRDefault="00425D4B" w:rsidP="00425D4B">
            <w:r>
              <w:t>77.15</w:t>
            </w:r>
          </w:p>
        </w:tc>
        <w:tc>
          <w:tcPr>
            <w:tcW w:w="3117" w:type="dxa"/>
          </w:tcPr>
          <w:p w14:paraId="7475C96B" w14:textId="6B44CD07" w:rsidR="00425D4B" w:rsidRDefault="00425D4B" w:rsidP="00425D4B">
            <w:r>
              <w:t>71.716</w:t>
            </w:r>
          </w:p>
        </w:tc>
      </w:tr>
      <w:tr w:rsidR="00CD05D3" w14:paraId="2CB6F648" w14:textId="77777777" w:rsidTr="00425D4B">
        <w:tc>
          <w:tcPr>
            <w:tcW w:w="3116" w:type="dxa"/>
          </w:tcPr>
          <w:p w14:paraId="397CE6DC" w14:textId="7D80CE1C" w:rsidR="00CD05D3" w:rsidRDefault="00CD05D3" w:rsidP="00425D4B">
            <w:r>
              <w:t xml:space="preserve">Healthy Life Expectancy at birth (HALE) </w:t>
            </w:r>
            <w:r w:rsidR="00BC6D6E" w:rsidRPr="00BC6D6E">
              <w:rPr>
                <w:sz w:val="21"/>
                <w:szCs w:val="21"/>
              </w:rPr>
              <w:t>(</w:t>
            </w:r>
            <w:proofErr w:type="spellStart"/>
            <w:r w:rsidR="00BC6D6E" w:rsidRPr="00BC6D6E">
              <w:rPr>
                <w:sz w:val="21"/>
                <w:szCs w:val="21"/>
              </w:rPr>
              <w:t>Knoema</w:t>
            </w:r>
            <w:proofErr w:type="spellEnd"/>
            <w:r w:rsidR="00BC6D6E" w:rsidRPr="00BC6D6E">
              <w:rPr>
                <w:sz w:val="21"/>
                <w:szCs w:val="21"/>
              </w:rPr>
              <w:t>)</w:t>
            </w:r>
          </w:p>
        </w:tc>
        <w:tc>
          <w:tcPr>
            <w:tcW w:w="3117" w:type="dxa"/>
          </w:tcPr>
          <w:p w14:paraId="07B167C8" w14:textId="1918BEC0" w:rsidR="00CD05D3" w:rsidRDefault="00CD05D3" w:rsidP="00425D4B">
            <w:r>
              <w:t>66.80</w:t>
            </w:r>
          </w:p>
        </w:tc>
        <w:tc>
          <w:tcPr>
            <w:tcW w:w="3117" w:type="dxa"/>
          </w:tcPr>
          <w:p w14:paraId="3BE71FAD" w14:textId="5D12BBB2" w:rsidR="00CD05D3" w:rsidRDefault="00CD05D3" w:rsidP="00425D4B">
            <w:r>
              <w:t>61.70</w:t>
            </w:r>
          </w:p>
        </w:tc>
      </w:tr>
      <w:tr w:rsidR="00425D4B" w14:paraId="3BAD01CE" w14:textId="77777777" w:rsidTr="00425D4B">
        <w:tc>
          <w:tcPr>
            <w:tcW w:w="3116" w:type="dxa"/>
          </w:tcPr>
          <w:p w14:paraId="1ED217AC" w14:textId="5099ACA8" w:rsidR="00425D4B" w:rsidRDefault="00425D4B" w:rsidP="00425D4B">
            <w:r>
              <w:t>Fertility rate</w:t>
            </w:r>
            <w:r w:rsidR="00BC6D6E">
              <w:t xml:space="preserve"> </w:t>
            </w:r>
            <w:r w:rsidR="00BC6D6E" w:rsidRPr="00BC6D6E">
              <w:rPr>
                <w:sz w:val="21"/>
                <w:szCs w:val="21"/>
              </w:rPr>
              <w:t>(World Bank)</w:t>
            </w:r>
          </w:p>
        </w:tc>
        <w:tc>
          <w:tcPr>
            <w:tcW w:w="3117" w:type="dxa"/>
          </w:tcPr>
          <w:p w14:paraId="7CE2E01F" w14:textId="2E26DD9B" w:rsidR="00425D4B" w:rsidRDefault="00425D4B" w:rsidP="00425D4B">
            <w:r>
              <w:t>1.514</w:t>
            </w:r>
          </w:p>
        </w:tc>
        <w:tc>
          <w:tcPr>
            <w:tcW w:w="3117" w:type="dxa"/>
          </w:tcPr>
          <w:p w14:paraId="26BCFFC5" w14:textId="6D9ACAF4" w:rsidR="00425D4B" w:rsidRDefault="00425D4B" w:rsidP="00425D4B">
            <w:r>
              <w:t>2.288</w:t>
            </w:r>
          </w:p>
        </w:tc>
      </w:tr>
      <w:tr w:rsidR="00425D4B" w14:paraId="00874287" w14:textId="77777777" w:rsidTr="00425D4B">
        <w:tc>
          <w:tcPr>
            <w:tcW w:w="3116" w:type="dxa"/>
          </w:tcPr>
          <w:p w14:paraId="772B227C" w14:textId="0E92A4DA" w:rsidR="00425D4B" w:rsidRDefault="00425D4B" w:rsidP="00425D4B">
            <w:r>
              <w:t>% Population in largest city</w:t>
            </w:r>
            <w:r w:rsidR="00BC6D6E">
              <w:t xml:space="preserve"> </w:t>
            </w:r>
            <w:r w:rsidR="00BC6D6E" w:rsidRPr="00BC6D6E">
              <w:rPr>
                <w:sz w:val="21"/>
                <w:szCs w:val="21"/>
              </w:rPr>
              <w:t>(World Bank)</w:t>
            </w:r>
          </w:p>
        </w:tc>
        <w:tc>
          <w:tcPr>
            <w:tcW w:w="3117" w:type="dxa"/>
          </w:tcPr>
          <w:p w14:paraId="4CD6E968" w14:textId="557071B9" w:rsidR="00425D4B" w:rsidRDefault="00425D4B" w:rsidP="00425D4B">
            <w:r>
              <w:t>14.87</w:t>
            </w:r>
          </w:p>
        </w:tc>
        <w:tc>
          <w:tcPr>
            <w:tcW w:w="3117" w:type="dxa"/>
          </w:tcPr>
          <w:p w14:paraId="6BC50615" w14:textId="55C7A12B" w:rsidR="00425D4B" w:rsidRDefault="00425D4B" w:rsidP="00425D4B">
            <w:r>
              <w:t>3.93</w:t>
            </w:r>
          </w:p>
        </w:tc>
      </w:tr>
      <w:tr w:rsidR="00425D4B" w14:paraId="653FE891" w14:textId="77777777" w:rsidTr="00425D4B">
        <w:tc>
          <w:tcPr>
            <w:tcW w:w="3116" w:type="dxa"/>
          </w:tcPr>
          <w:p w14:paraId="600FE1EC" w14:textId="3057F639" w:rsidR="00425D4B" w:rsidRDefault="00425D4B" w:rsidP="00425D4B">
            <w:r>
              <w:t>% Population aged 10-14</w:t>
            </w:r>
            <w:r w:rsidR="00BC6D6E">
              <w:t xml:space="preserve"> </w:t>
            </w:r>
            <w:r w:rsidR="00BC6D6E" w:rsidRPr="00BC6D6E">
              <w:rPr>
                <w:sz w:val="21"/>
                <w:szCs w:val="21"/>
              </w:rPr>
              <w:t>(World Bank)</w:t>
            </w:r>
          </w:p>
        </w:tc>
        <w:tc>
          <w:tcPr>
            <w:tcW w:w="3117" w:type="dxa"/>
          </w:tcPr>
          <w:p w14:paraId="5C5B135E" w14:textId="24F71671" w:rsidR="00425D4B" w:rsidRDefault="00425D4B" w:rsidP="00425D4B">
            <w:r>
              <w:t>16.824</w:t>
            </w:r>
          </w:p>
        </w:tc>
        <w:tc>
          <w:tcPr>
            <w:tcW w:w="3117" w:type="dxa"/>
          </w:tcPr>
          <w:p w14:paraId="2D02F363" w14:textId="3624B775" w:rsidR="00425D4B" w:rsidRDefault="00425D4B" w:rsidP="00425D4B">
            <w:r>
              <w:t>26.215</w:t>
            </w:r>
          </w:p>
        </w:tc>
      </w:tr>
      <w:tr w:rsidR="00425D4B" w14:paraId="159ADA1C" w14:textId="77777777" w:rsidTr="00425D4B">
        <w:tc>
          <w:tcPr>
            <w:tcW w:w="3116" w:type="dxa"/>
          </w:tcPr>
          <w:p w14:paraId="7DB8CC6B" w14:textId="2ACB0960" w:rsidR="00425D4B" w:rsidRDefault="00425D4B" w:rsidP="00425D4B">
            <w:r>
              <w:t xml:space="preserve">Land Area (sq miles) </w:t>
            </w:r>
            <w:r w:rsidR="00BC6D6E" w:rsidRPr="00BC6D6E">
              <w:rPr>
                <w:sz w:val="21"/>
                <w:szCs w:val="21"/>
              </w:rPr>
              <w:t>(World Bank)</w:t>
            </w:r>
          </w:p>
        </w:tc>
        <w:tc>
          <w:tcPr>
            <w:tcW w:w="3117" w:type="dxa"/>
          </w:tcPr>
          <w:p w14:paraId="35872E5E" w14:textId="71A54E33" w:rsidR="00425D4B" w:rsidRDefault="00425D4B" w:rsidP="00425D4B">
            <w:r>
              <w:t>510,890</w:t>
            </w:r>
          </w:p>
        </w:tc>
        <w:tc>
          <w:tcPr>
            <w:tcW w:w="3117" w:type="dxa"/>
          </w:tcPr>
          <w:p w14:paraId="1E0A8B9D" w14:textId="56585A45" w:rsidR="00425D4B" w:rsidRDefault="00425D4B" w:rsidP="00425D4B">
            <w:r>
              <w:t>1,877,519</w:t>
            </w:r>
          </w:p>
        </w:tc>
      </w:tr>
      <w:tr w:rsidR="00425D4B" w14:paraId="10EF3F48" w14:textId="77777777" w:rsidTr="00425D4B">
        <w:tc>
          <w:tcPr>
            <w:tcW w:w="3116" w:type="dxa"/>
          </w:tcPr>
          <w:p w14:paraId="6A00D226" w14:textId="340166CB" w:rsidR="00425D4B" w:rsidRDefault="00425D4B" w:rsidP="00425D4B">
            <w:r>
              <w:t>Area of largest city (sq km)</w:t>
            </w:r>
            <w:r w:rsidR="00BC6D6E" w:rsidRPr="00BC6D6E">
              <w:rPr>
                <w:sz w:val="21"/>
                <w:szCs w:val="21"/>
              </w:rPr>
              <w:t xml:space="preserve"> </w:t>
            </w:r>
            <w:r w:rsidR="00BC6D6E" w:rsidRPr="00BC6D6E">
              <w:rPr>
                <w:sz w:val="21"/>
                <w:szCs w:val="21"/>
              </w:rPr>
              <w:t>(World Bank)</w:t>
            </w:r>
          </w:p>
        </w:tc>
        <w:tc>
          <w:tcPr>
            <w:tcW w:w="3117" w:type="dxa"/>
          </w:tcPr>
          <w:p w14:paraId="3C8AE6E1" w14:textId="696D45D8" w:rsidR="00425D4B" w:rsidRDefault="00425D4B" w:rsidP="00425D4B">
            <w:r>
              <w:t>1,568.7</w:t>
            </w:r>
          </w:p>
        </w:tc>
        <w:tc>
          <w:tcPr>
            <w:tcW w:w="3117" w:type="dxa"/>
          </w:tcPr>
          <w:p w14:paraId="37C80EDE" w14:textId="3CF9C85B" w:rsidR="00425D4B" w:rsidRDefault="00425D4B" w:rsidP="00425D4B">
            <w:r>
              <w:t>764.48</w:t>
            </w:r>
          </w:p>
        </w:tc>
      </w:tr>
      <w:tr w:rsidR="00425D4B" w14:paraId="2D40CA60" w14:textId="77777777" w:rsidTr="00425D4B">
        <w:tc>
          <w:tcPr>
            <w:tcW w:w="3116" w:type="dxa"/>
          </w:tcPr>
          <w:p w14:paraId="21CC7791" w14:textId="48CAA152" w:rsidR="00425D4B" w:rsidRPr="00BC6D6E" w:rsidRDefault="00425D4B" w:rsidP="00425D4B">
            <w:pPr>
              <w:rPr>
                <w:sz w:val="21"/>
                <w:szCs w:val="21"/>
              </w:rPr>
            </w:pPr>
            <w:r>
              <w:t xml:space="preserve">HAQ Index (2016) </w:t>
            </w:r>
            <w:r w:rsidR="00BC6D6E" w:rsidRPr="00BC6D6E">
              <w:rPr>
                <w:sz w:val="21"/>
                <w:szCs w:val="21"/>
              </w:rPr>
              <w:t>(IHME)</w:t>
            </w:r>
          </w:p>
        </w:tc>
        <w:tc>
          <w:tcPr>
            <w:tcW w:w="3117" w:type="dxa"/>
          </w:tcPr>
          <w:p w14:paraId="3C13B225" w14:textId="049F6B09" w:rsidR="00425D4B" w:rsidRDefault="00425D4B" w:rsidP="00425D4B">
            <w:r>
              <w:t>69.5</w:t>
            </w:r>
          </w:p>
        </w:tc>
        <w:tc>
          <w:tcPr>
            <w:tcW w:w="3117" w:type="dxa"/>
          </w:tcPr>
          <w:p w14:paraId="5AA5FF52" w14:textId="553E02F0" w:rsidR="00425D4B" w:rsidRDefault="00425D4B" w:rsidP="00425D4B">
            <w:r>
              <w:t>44.5</w:t>
            </w:r>
          </w:p>
        </w:tc>
      </w:tr>
      <w:tr w:rsidR="00CD05D3" w14:paraId="6568B38C" w14:textId="77777777" w:rsidTr="00425D4B">
        <w:tc>
          <w:tcPr>
            <w:tcW w:w="3116" w:type="dxa"/>
          </w:tcPr>
          <w:p w14:paraId="54352044" w14:textId="1A6AE047" w:rsidR="00CD05D3" w:rsidRDefault="00CD05D3" w:rsidP="00425D4B">
            <w:r>
              <w:t>GBD (YLL/100,000)</w:t>
            </w:r>
            <w:r w:rsidR="00BC6D6E">
              <w:t xml:space="preserve"> </w:t>
            </w:r>
            <w:r w:rsidR="00BC6D6E" w:rsidRPr="00BC6D6E">
              <w:rPr>
                <w:sz w:val="21"/>
                <w:szCs w:val="21"/>
              </w:rPr>
              <w:t>(IHME)</w:t>
            </w:r>
          </w:p>
        </w:tc>
        <w:tc>
          <w:tcPr>
            <w:tcW w:w="3117" w:type="dxa"/>
          </w:tcPr>
          <w:p w14:paraId="1523B7E2" w14:textId="5887B4E8" w:rsidR="00CD05D3" w:rsidRDefault="00CD05D3" w:rsidP="00425D4B">
            <w:r>
              <w:t>17,539.50</w:t>
            </w:r>
          </w:p>
        </w:tc>
        <w:tc>
          <w:tcPr>
            <w:tcW w:w="3117" w:type="dxa"/>
          </w:tcPr>
          <w:p w14:paraId="16521127" w14:textId="3487329F" w:rsidR="00CD05D3" w:rsidRDefault="00CD05D3" w:rsidP="00425D4B">
            <w:r>
              <w:t>19,844.05</w:t>
            </w:r>
          </w:p>
        </w:tc>
      </w:tr>
      <w:tr w:rsidR="00CD05D3" w14:paraId="55C576BE" w14:textId="77777777" w:rsidTr="00425D4B">
        <w:tc>
          <w:tcPr>
            <w:tcW w:w="3116" w:type="dxa"/>
          </w:tcPr>
          <w:p w14:paraId="29871B43" w14:textId="309A2EA9" w:rsidR="00CD05D3" w:rsidRDefault="00CD05D3" w:rsidP="00425D4B">
            <w:r>
              <w:t>DALYs lost to dengue (rate)</w:t>
            </w:r>
            <w:r w:rsidR="00BC6D6E">
              <w:t xml:space="preserve"> </w:t>
            </w:r>
            <w:r w:rsidR="00BC6D6E" w:rsidRPr="00BC6D6E">
              <w:rPr>
                <w:sz w:val="21"/>
                <w:szCs w:val="21"/>
              </w:rPr>
              <w:t>(IHME)</w:t>
            </w:r>
          </w:p>
        </w:tc>
        <w:tc>
          <w:tcPr>
            <w:tcW w:w="3117" w:type="dxa"/>
          </w:tcPr>
          <w:p w14:paraId="3F2D95E2" w14:textId="639D23CB" w:rsidR="00CD05D3" w:rsidRDefault="00CD05D3" w:rsidP="00425D4B">
            <w:r>
              <w:t>27.07</w:t>
            </w:r>
          </w:p>
        </w:tc>
        <w:tc>
          <w:tcPr>
            <w:tcW w:w="3117" w:type="dxa"/>
          </w:tcPr>
          <w:p w14:paraId="52DBCFF3" w14:textId="3786E622" w:rsidR="00CD05D3" w:rsidRDefault="00CD05D3" w:rsidP="00425D4B">
            <w:r>
              <w:t>249.55</w:t>
            </w:r>
          </w:p>
        </w:tc>
      </w:tr>
    </w:tbl>
    <w:p w14:paraId="2D6D2DCC" w14:textId="77777777" w:rsidR="00425D4B" w:rsidRDefault="00425D4B" w:rsidP="00425D4B">
      <w:pPr>
        <w:ind w:firstLine="720"/>
      </w:pPr>
    </w:p>
    <w:p w14:paraId="121B834C" w14:textId="271B543B" w:rsidR="002855B3" w:rsidRDefault="002855B3" w:rsidP="007B5AF0">
      <w:pPr>
        <w:spacing w:line="480" w:lineRule="auto"/>
        <w:ind w:firstLine="720"/>
        <w:jc w:val="both"/>
      </w:pPr>
      <w:r>
        <w:t xml:space="preserve">In this study, I will compare the cost effectiveness of dengue vaccination and </w:t>
      </w:r>
      <w:proofErr w:type="spellStart"/>
      <w:r w:rsidR="00287C10">
        <w:rPr>
          <w:i/>
          <w:iCs/>
        </w:rPr>
        <w:t>wMel</w:t>
      </w:r>
      <w:proofErr w:type="spellEnd"/>
      <w:r w:rsidR="00287C10">
        <w:rPr>
          <w:i/>
          <w:iCs/>
        </w:rPr>
        <w:t xml:space="preserve"> W</w:t>
      </w:r>
      <w:r w:rsidRPr="00287C10">
        <w:rPr>
          <w:i/>
          <w:iCs/>
        </w:rPr>
        <w:t>olbachia</w:t>
      </w:r>
      <w:r>
        <w:t xml:space="preserve">-infection replacement programs in Thailand using data from </w:t>
      </w:r>
      <w:r w:rsidR="00FD5034">
        <w:t xml:space="preserve">proposed </w:t>
      </w:r>
      <w:r>
        <w:t xml:space="preserve">interventions in Indonesia. </w:t>
      </w:r>
      <w:r w:rsidR="00FD5034">
        <w:t xml:space="preserve">The cost of these interventions was adjusted </w:t>
      </w:r>
      <w:r w:rsidR="0013144B">
        <w:t xml:space="preserve">based on a comparison of proxy cost indicators in both countries. </w:t>
      </w:r>
      <w:r w:rsidR="00FD5034">
        <w:t xml:space="preserve">DALYs averted were </w:t>
      </w:r>
      <w:r w:rsidR="00A613C4">
        <w:t xml:space="preserve">taken and adjusted from studies proposing dengue vaccination or </w:t>
      </w:r>
      <w:proofErr w:type="spellStart"/>
      <w:r w:rsidR="00287C10">
        <w:rPr>
          <w:i/>
          <w:iCs/>
        </w:rPr>
        <w:t>wMel</w:t>
      </w:r>
      <w:proofErr w:type="spellEnd"/>
      <w:r w:rsidR="00287C10">
        <w:rPr>
          <w:i/>
          <w:iCs/>
        </w:rPr>
        <w:t xml:space="preserve"> W</w:t>
      </w:r>
      <w:r w:rsidR="00A613C4" w:rsidRPr="00287C10">
        <w:rPr>
          <w:i/>
          <w:iCs/>
        </w:rPr>
        <w:t>olbachia</w:t>
      </w:r>
      <w:r w:rsidR="00A613C4">
        <w:t xml:space="preserve"> implementation in Indonesia, </w:t>
      </w:r>
      <w:r w:rsidR="00FD5034">
        <w:t xml:space="preserve">and then adjusted for Thailand </w:t>
      </w:r>
      <w:r w:rsidR="00FD5034" w:rsidRPr="00CD05D3">
        <w:t>based on target population size, disease prevalence, HAQ index score</w:t>
      </w:r>
      <w:r w:rsidR="00CD05D3">
        <w:t>, and, most importantly loss of DALYs to dengue in each country per 100,000</w:t>
      </w:r>
      <w:r w:rsidR="00FD5034" w:rsidRPr="00CD05D3">
        <w:t>.</w:t>
      </w:r>
      <w:r w:rsidR="00FD5034">
        <w:t xml:space="preserve"> </w:t>
      </w:r>
    </w:p>
    <w:p w14:paraId="45948301" w14:textId="1C2CD3B2" w:rsidR="00FD5034" w:rsidRDefault="00FD5034" w:rsidP="002855B3">
      <w:pPr>
        <w:ind w:firstLine="720"/>
      </w:pPr>
    </w:p>
    <w:p w14:paraId="7EC21167" w14:textId="76229008" w:rsidR="00003273" w:rsidRDefault="00003273" w:rsidP="002855B3">
      <w:pPr>
        <w:ind w:firstLine="720"/>
      </w:pPr>
    </w:p>
    <w:p w14:paraId="26FC673D" w14:textId="3C114B07" w:rsidR="00003273" w:rsidRDefault="00003273" w:rsidP="002855B3">
      <w:pPr>
        <w:ind w:firstLine="720"/>
      </w:pPr>
    </w:p>
    <w:p w14:paraId="7E782A66" w14:textId="77777777" w:rsidR="00003273" w:rsidRPr="002802CF" w:rsidRDefault="00003273" w:rsidP="002855B3">
      <w:pPr>
        <w:ind w:firstLine="720"/>
      </w:pPr>
    </w:p>
    <w:p w14:paraId="2D2C5EFC" w14:textId="16415EAD" w:rsidR="00E8579C" w:rsidRDefault="00E8579C" w:rsidP="00F47B05">
      <w:pPr>
        <w:spacing w:line="480" w:lineRule="auto"/>
        <w:jc w:val="both"/>
        <w:rPr>
          <w:b/>
          <w:bCs/>
        </w:rPr>
      </w:pPr>
      <w:r>
        <w:rPr>
          <w:b/>
          <w:bCs/>
        </w:rPr>
        <w:lastRenderedPageBreak/>
        <w:t>Burden of Dengue in</w:t>
      </w:r>
      <w:r w:rsidR="00836303">
        <w:rPr>
          <w:b/>
          <w:bCs/>
        </w:rPr>
        <w:t xml:space="preserve"> Thailand</w:t>
      </w:r>
      <w:r>
        <w:rPr>
          <w:b/>
          <w:bCs/>
        </w:rPr>
        <w:t xml:space="preserve">: </w:t>
      </w:r>
    </w:p>
    <w:p w14:paraId="6995822E" w14:textId="5E7B17F9" w:rsidR="00E8579C" w:rsidRDefault="002855B3" w:rsidP="00F47B05">
      <w:pPr>
        <w:spacing w:line="480" w:lineRule="auto"/>
        <w:jc w:val="both"/>
      </w:pPr>
      <w:r>
        <w:rPr>
          <w:b/>
          <w:bCs/>
        </w:rPr>
        <w:tab/>
      </w:r>
      <w:r>
        <w:t xml:space="preserve">For this study, DALYs </w:t>
      </w:r>
      <w:r w:rsidR="00FD5034">
        <w:t>are</w:t>
      </w:r>
      <w:r>
        <w:t xml:space="preserve"> the best method to quantify the burden of dengue as this will account for both years of life lost (YLL) and years lost to disability (YLD). While symptoms from dengue generally only last 2-7 days, most patients are disabled for at least 4 days following the onset of symptoms, based on a cohort study of patients in Brazil, Puerto Rico, and Thailand (</w:t>
      </w:r>
      <w:proofErr w:type="spellStart"/>
      <w:r>
        <w:t>Tiga</w:t>
      </w:r>
      <w:proofErr w:type="spellEnd"/>
      <w:r>
        <w:t xml:space="preserve"> </w:t>
      </w:r>
      <w:proofErr w:type="spellStart"/>
      <w:r>
        <w:t>Loza</w:t>
      </w:r>
      <w:proofErr w:type="spellEnd"/>
      <w:r>
        <w:t xml:space="preserve">, 2011). Though dengue is not one of the largest contributors of DALYs in Thailand, the burden of dengue is expected to increase in the coming years </w:t>
      </w:r>
      <w:r w:rsidR="00A613C4">
        <w:t>because of</w:t>
      </w:r>
      <w:r>
        <w:t xml:space="preserve"> greater spread and more suitable temperatures for mosquitoes due </w:t>
      </w:r>
      <w:r w:rsidRPr="002855B3">
        <w:t>to climate change</w:t>
      </w:r>
      <w:r>
        <w:t xml:space="preserve"> (Colón-González, 2013)</w:t>
      </w:r>
      <w:r w:rsidRPr="002855B3">
        <w:t>.</w:t>
      </w:r>
      <w:r>
        <w:t xml:space="preserve"> For these reasons, and the fact that all current healthcare efforts to limit dengue disease burden are preventative, it is imperative to implement cost-effective prevention measures in countries where dengue burden is expected to rise. </w:t>
      </w:r>
    </w:p>
    <w:p w14:paraId="02A890B5" w14:textId="4F3754F0" w:rsidR="002855B3" w:rsidRDefault="002855B3" w:rsidP="00F47B05">
      <w:pPr>
        <w:spacing w:line="480" w:lineRule="auto"/>
        <w:jc w:val="both"/>
      </w:pPr>
      <w:r>
        <w:tab/>
        <w:t xml:space="preserve">Two studies </w:t>
      </w:r>
      <w:r w:rsidR="00A613C4">
        <w:t xml:space="preserve">proposing program implementations in </w:t>
      </w:r>
      <w:r>
        <w:t xml:space="preserve">Indonesia were used to compare the cost-effectiveness </w:t>
      </w:r>
      <w:r w:rsidR="00A613C4">
        <w:t xml:space="preserve">of </w:t>
      </w:r>
      <w:r w:rsidR="0013144B">
        <w:t>the schemes</w:t>
      </w:r>
      <w:r>
        <w:t xml:space="preserve"> in Thailand </w:t>
      </w:r>
      <w:r w:rsidR="00A613C4">
        <w:t xml:space="preserve">in this study: </w:t>
      </w:r>
      <w:proofErr w:type="spellStart"/>
      <w:r>
        <w:t>Suwantika</w:t>
      </w:r>
      <w:proofErr w:type="spellEnd"/>
      <w:r>
        <w:t xml:space="preserve"> et al</w:t>
      </w:r>
      <w:r w:rsidR="00A613C4">
        <w:t xml:space="preserve"> (</w:t>
      </w:r>
      <w:r>
        <w:t>2021</w:t>
      </w:r>
      <w:r w:rsidR="00A613C4">
        <w:t>), which examined the cost-effectiveness of implementing a country-wide dengue vaccination program,</w:t>
      </w:r>
      <w:r>
        <w:t xml:space="preserve"> and Brady et al</w:t>
      </w:r>
      <w:r w:rsidR="00A613C4">
        <w:t xml:space="preserve"> (</w:t>
      </w:r>
      <w:r>
        <w:t>2020</w:t>
      </w:r>
      <w:r w:rsidR="00A613C4">
        <w:t xml:space="preserve">), which examined the costs and benefits associated with </w:t>
      </w:r>
      <w:proofErr w:type="spellStart"/>
      <w:r w:rsidR="00287C10">
        <w:rPr>
          <w:i/>
          <w:iCs/>
        </w:rPr>
        <w:t>wMel</w:t>
      </w:r>
      <w:proofErr w:type="spellEnd"/>
      <w:r w:rsidR="00287C10">
        <w:rPr>
          <w:i/>
          <w:iCs/>
        </w:rPr>
        <w:t xml:space="preserve"> W</w:t>
      </w:r>
      <w:r w:rsidR="00A613C4" w:rsidRPr="00287C10">
        <w:rPr>
          <w:i/>
          <w:iCs/>
        </w:rPr>
        <w:t xml:space="preserve">olbachia </w:t>
      </w:r>
      <w:r w:rsidR="00A613C4">
        <w:t xml:space="preserve">implementation in several cities in Indonesia. </w:t>
      </w:r>
      <w:r>
        <w:t xml:space="preserve">Though </w:t>
      </w:r>
      <w:proofErr w:type="spellStart"/>
      <w:r>
        <w:t>Suwantika</w:t>
      </w:r>
      <w:proofErr w:type="spellEnd"/>
      <w:r>
        <w:t xml:space="preserve"> et al (2021) calculated cost-effectiveness in their study with Quality-Adjusted Life Years, or QALYs</w:t>
      </w:r>
      <w:r w:rsidR="00A613C4">
        <w:t>,</w:t>
      </w:r>
      <w:r>
        <w:t xml:space="preserve"> for the purpose of this analysis, the number of averted cases and deaths from the findings w</w:t>
      </w:r>
      <w:r w:rsidR="00A613C4">
        <w:t xml:space="preserve">ere </w:t>
      </w:r>
      <w:r>
        <w:t xml:space="preserve">converted into DALYs, the same outcome measure used in Brady et al (2020). Both these outcome measures will be further adjusted, however, to account </w:t>
      </w:r>
      <w:r w:rsidRPr="00CD05D3">
        <w:t>for the difference in prevalence of dengue and the different health system capacities of each country</w:t>
      </w:r>
      <w:r w:rsidR="00CD05D3">
        <w:t>, specifically in terms of DALYs lost to dengue per 100,000</w:t>
      </w:r>
      <w:r>
        <w:t xml:space="preserve">. </w:t>
      </w:r>
    </w:p>
    <w:p w14:paraId="600C91B9" w14:textId="18C26691" w:rsidR="002855B3" w:rsidRDefault="002855B3"/>
    <w:p w14:paraId="74E577F4" w14:textId="2237BD16" w:rsidR="0013144B" w:rsidRDefault="0013144B"/>
    <w:p w14:paraId="4F5DA8C4" w14:textId="572054BF" w:rsidR="0013144B" w:rsidRDefault="0013144B"/>
    <w:p w14:paraId="0E6012A9" w14:textId="77777777" w:rsidR="0013144B" w:rsidRPr="002855B3" w:rsidRDefault="0013144B"/>
    <w:p w14:paraId="255205B9" w14:textId="2B422A7A" w:rsidR="00E8579C" w:rsidRDefault="00E8579C" w:rsidP="00F47B05">
      <w:pPr>
        <w:spacing w:line="480" w:lineRule="auto"/>
        <w:jc w:val="both"/>
        <w:rPr>
          <w:b/>
          <w:bCs/>
        </w:rPr>
      </w:pPr>
      <w:r>
        <w:rPr>
          <w:b/>
          <w:bCs/>
        </w:rPr>
        <w:lastRenderedPageBreak/>
        <w:t xml:space="preserve">Target Populations: </w:t>
      </w:r>
    </w:p>
    <w:p w14:paraId="59FE01C6" w14:textId="1E6C9619" w:rsidR="00A613C4" w:rsidRDefault="002855B3" w:rsidP="00F47B05">
      <w:pPr>
        <w:spacing w:line="480" w:lineRule="auto"/>
        <w:jc w:val="both"/>
      </w:pPr>
      <w:r>
        <w:tab/>
        <w:t>The</w:t>
      </w:r>
      <w:r w:rsidR="00A613C4">
        <w:t xml:space="preserve">re are two differing target populations for this study: children aged 10-14 and </w:t>
      </w:r>
      <w:r w:rsidR="00F47B05">
        <w:t>the population of the largest city</w:t>
      </w:r>
      <w:r w:rsidR="00A613C4">
        <w:t xml:space="preserve">. These different populations result from the different implementations, as dengue vaccination is only recommended for children between the ages of 9-16, and </w:t>
      </w:r>
      <w:proofErr w:type="spellStart"/>
      <w:r w:rsidR="00287C10">
        <w:rPr>
          <w:i/>
          <w:iCs/>
        </w:rPr>
        <w:t>wMel</w:t>
      </w:r>
      <w:proofErr w:type="spellEnd"/>
      <w:r w:rsidR="00287C10">
        <w:rPr>
          <w:i/>
          <w:iCs/>
        </w:rPr>
        <w:t xml:space="preserve"> W</w:t>
      </w:r>
      <w:r w:rsidR="00A613C4" w:rsidRPr="00287C10">
        <w:rPr>
          <w:i/>
          <w:iCs/>
        </w:rPr>
        <w:t>olbachia</w:t>
      </w:r>
      <w:r w:rsidR="00A613C4">
        <w:t xml:space="preserve"> implementation is most effective in urban centers where the density of humans and mosquitoes is greatest. </w:t>
      </w:r>
      <w:r>
        <w:t xml:space="preserve">Though </w:t>
      </w:r>
      <w:proofErr w:type="spellStart"/>
      <w:r w:rsidR="00F47B05" w:rsidRPr="00F47B05">
        <w:rPr>
          <w:i/>
          <w:iCs/>
        </w:rPr>
        <w:t>Dengvaxia</w:t>
      </w:r>
      <w:proofErr w:type="spellEnd"/>
      <w:r>
        <w:t xml:space="preserve"> is recommended for children ages 9-16, estimates of the population between those ages in each of the two countries is not available from the World Bank </w:t>
      </w:r>
      <w:proofErr w:type="spellStart"/>
      <w:r w:rsidR="0013144B">
        <w:t>DataBank</w:t>
      </w:r>
      <w:proofErr w:type="spellEnd"/>
      <w:r>
        <w:t>. Instead, the population</w:t>
      </w:r>
      <w:r w:rsidR="00F47B05">
        <w:t xml:space="preserve"> between</w:t>
      </w:r>
      <w:r>
        <w:t xml:space="preserve"> ages 10-14 will be used as a proxy for the true population of interest</w:t>
      </w:r>
      <w:r w:rsidR="00A613C4">
        <w:t xml:space="preserve"> for the dengue vaccination program</w:t>
      </w:r>
      <w:r w:rsidR="003557D2">
        <w:t xml:space="preserve"> in Thailand</w:t>
      </w:r>
      <w:r w:rsidR="00A613C4">
        <w:t>.</w:t>
      </w:r>
      <w:r w:rsidR="001A53F4">
        <w:t xml:space="preserve"> </w:t>
      </w:r>
    </w:p>
    <w:p w14:paraId="4C35DFFC" w14:textId="19E11FCB" w:rsidR="002D6D9E" w:rsidRDefault="00A613C4" w:rsidP="00F47B05">
      <w:pPr>
        <w:spacing w:line="480" w:lineRule="auto"/>
        <w:jc w:val="both"/>
      </w:pPr>
      <w:r>
        <w:tab/>
        <w:t>In addition to examining children between the ages of 10-14</w:t>
      </w:r>
      <w:r w:rsidR="003557D2">
        <w:t xml:space="preserve"> for the dengue vaccination implementation</w:t>
      </w:r>
      <w:r>
        <w:t xml:space="preserve">, this study will separately examine the populations of people living in </w:t>
      </w:r>
      <w:r w:rsidR="0013144B">
        <w:t>each country’s</w:t>
      </w:r>
      <w:r>
        <w:t xml:space="preserve"> largest city for the </w:t>
      </w:r>
      <w:proofErr w:type="spellStart"/>
      <w:r w:rsidR="00287C10">
        <w:rPr>
          <w:i/>
          <w:iCs/>
        </w:rPr>
        <w:t>wMel</w:t>
      </w:r>
      <w:proofErr w:type="spellEnd"/>
      <w:r w:rsidR="00287C10">
        <w:rPr>
          <w:i/>
          <w:iCs/>
        </w:rPr>
        <w:t xml:space="preserve"> W</w:t>
      </w:r>
      <w:r w:rsidRPr="00287C10">
        <w:rPr>
          <w:i/>
          <w:iCs/>
        </w:rPr>
        <w:t>olbachia</w:t>
      </w:r>
      <w:r>
        <w:t xml:space="preserve"> implementation. As </w:t>
      </w:r>
      <w:proofErr w:type="spellStart"/>
      <w:r w:rsidR="00287C10">
        <w:rPr>
          <w:i/>
          <w:iCs/>
        </w:rPr>
        <w:t>wMel</w:t>
      </w:r>
      <w:proofErr w:type="spellEnd"/>
      <w:r w:rsidR="00287C10">
        <w:rPr>
          <w:i/>
          <w:iCs/>
        </w:rPr>
        <w:t xml:space="preserve"> W</w:t>
      </w:r>
      <w:r w:rsidR="00287C10" w:rsidRPr="00287C10">
        <w:rPr>
          <w:i/>
          <w:iCs/>
        </w:rPr>
        <w:t>olbachia</w:t>
      </w:r>
      <w:r>
        <w:t xml:space="preserve"> implementation wi</w:t>
      </w:r>
      <w:r w:rsidR="00114E36">
        <w:t>ll</w:t>
      </w:r>
      <w:r>
        <w:t xml:space="preserve"> disrupt transmission of dengue from</w:t>
      </w:r>
      <w:r w:rsidR="00F47B05">
        <w:t xml:space="preserve"> all</w:t>
      </w:r>
      <w:r>
        <w:t xml:space="preserve"> mosquitoes</w:t>
      </w:r>
      <w:r w:rsidR="00F47B05">
        <w:t xml:space="preserve"> </w:t>
      </w:r>
      <w:proofErr w:type="gramStart"/>
      <w:r w:rsidR="00F47B05">
        <w:t>in a given</w:t>
      </w:r>
      <w:proofErr w:type="gramEnd"/>
      <w:r w:rsidR="00F47B05">
        <w:t xml:space="preserve"> location</w:t>
      </w:r>
      <w:r>
        <w:t xml:space="preserve">, all age cohorts in urban centers are expected to benefit from this intervention. </w:t>
      </w:r>
      <w:proofErr w:type="spellStart"/>
      <w:r w:rsidR="00287C10">
        <w:rPr>
          <w:i/>
          <w:iCs/>
        </w:rPr>
        <w:t>wMel</w:t>
      </w:r>
      <w:proofErr w:type="spellEnd"/>
      <w:r w:rsidR="00287C10">
        <w:rPr>
          <w:i/>
          <w:iCs/>
        </w:rPr>
        <w:t xml:space="preserve"> W</w:t>
      </w:r>
      <w:r w:rsidR="00287C10" w:rsidRPr="00287C10">
        <w:rPr>
          <w:i/>
          <w:iCs/>
        </w:rPr>
        <w:t>olbachia</w:t>
      </w:r>
      <w:r w:rsidR="00287C10">
        <w:t xml:space="preserve"> </w:t>
      </w:r>
      <w:r>
        <w:t xml:space="preserve">implementation will also prevent the passage of other arboviruses, however, this </w:t>
      </w:r>
      <w:r w:rsidR="00F47B05">
        <w:t xml:space="preserve">additional benefit </w:t>
      </w:r>
      <w:r>
        <w:t xml:space="preserve">will only be examined </w:t>
      </w:r>
      <w:r w:rsidR="00114E36">
        <w:t xml:space="preserve">as a supplemental benefit </w:t>
      </w:r>
      <w:r>
        <w:t>in the discussion</w:t>
      </w:r>
      <w:r w:rsidR="00114E36">
        <w:t>,</w:t>
      </w:r>
      <w:r w:rsidR="00F47B05">
        <w:t xml:space="preserve"> as prevention of DALYs attributable to dengue is the primary outcome measure of this study. </w:t>
      </w:r>
    </w:p>
    <w:p w14:paraId="30082064" w14:textId="264B672D" w:rsidR="006D2E61" w:rsidRPr="00114E36" w:rsidRDefault="002855B3" w:rsidP="00114E36">
      <w:pPr>
        <w:spacing w:line="480" w:lineRule="auto"/>
        <w:ind w:firstLine="720"/>
        <w:jc w:val="both"/>
      </w:pPr>
      <w:r>
        <w:t>A breakdown of th</w:t>
      </w:r>
      <w:r w:rsidR="00114E36">
        <w:t>e</w:t>
      </w:r>
      <w:r>
        <w:t xml:space="preserve"> populations</w:t>
      </w:r>
      <w:r w:rsidR="00F47B05">
        <w:t xml:space="preserve"> </w:t>
      </w:r>
      <w:r w:rsidR="00114E36">
        <w:t xml:space="preserve">of interest </w:t>
      </w:r>
      <w:r>
        <w:t xml:space="preserve">can be seen in </w:t>
      </w:r>
      <w:r w:rsidR="00425D4B">
        <w:rPr>
          <w:b/>
          <w:bCs/>
        </w:rPr>
        <w:t>Tables</w:t>
      </w:r>
      <w:r w:rsidRPr="002855B3">
        <w:rPr>
          <w:b/>
          <w:bCs/>
        </w:rPr>
        <w:t xml:space="preserve"> </w:t>
      </w:r>
      <w:r w:rsidR="00425D4B">
        <w:rPr>
          <w:b/>
          <w:bCs/>
        </w:rPr>
        <w:t>3</w:t>
      </w:r>
      <w:r w:rsidR="00A613C4">
        <w:rPr>
          <w:b/>
          <w:bCs/>
        </w:rPr>
        <w:t xml:space="preserve"> and </w:t>
      </w:r>
      <w:r w:rsidR="00425D4B">
        <w:rPr>
          <w:b/>
          <w:bCs/>
        </w:rPr>
        <w:t>4</w:t>
      </w:r>
      <w:r w:rsidR="00F47B05">
        <w:t xml:space="preserve">. </w:t>
      </w:r>
    </w:p>
    <w:p w14:paraId="2965BEC8" w14:textId="77777777" w:rsidR="006D2E61" w:rsidRDefault="006D2E61">
      <w:pPr>
        <w:rPr>
          <w:b/>
          <w:bCs/>
        </w:rPr>
      </w:pPr>
    </w:p>
    <w:p w14:paraId="1B2B592C" w14:textId="61DA5173" w:rsidR="002855B3" w:rsidRDefault="00425D4B" w:rsidP="002855B3">
      <w:r>
        <w:rPr>
          <w:b/>
          <w:bCs/>
        </w:rPr>
        <w:t>Table 3</w:t>
      </w:r>
      <w:r w:rsidR="002855B3">
        <w:t xml:space="preserve">: </w:t>
      </w:r>
      <w:r w:rsidR="002855B3" w:rsidRPr="00114E36">
        <w:rPr>
          <w:b/>
          <w:bCs/>
        </w:rPr>
        <w:t>Population ages 10-14, World bank 2019</w:t>
      </w:r>
      <w:r w:rsidR="002855B3">
        <w:t xml:space="preserve"> </w:t>
      </w:r>
    </w:p>
    <w:tbl>
      <w:tblPr>
        <w:tblStyle w:val="TableGrid"/>
        <w:tblW w:w="0" w:type="auto"/>
        <w:tblLook w:val="04A0" w:firstRow="1" w:lastRow="0" w:firstColumn="1" w:lastColumn="0" w:noHBand="0" w:noVBand="1"/>
      </w:tblPr>
      <w:tblGrid>
        <w:gridCol w:w="3116"/>
        <w:gridCol w:w="3117"/>
        <w:gridCol w:w="3117"/>
      </w:tblGrid>
      <w:tr w:rsidR="002855B3" w:rsidRPr="00F47B05" w14:paraId="4EF3D460" w14:textId="77777777" w:rsidTr="00F47B05">
        <w:tc>
          <w:tcPr>
            <w:tcW w:w="3116" w:type="dxa"/>
            <w:tcBorders>
              <w:bottom w:val="single" w:sz="18" w:space="0" w:color="auto"/>
            </w:tcBorders>
          </w:tcPr>
          <w:p w14:paraId="69089CF0" w14:textId="77777777" w:rsidR="002855B3" w:rsidRPr="00F47B05" w:rsidRDefault="002855B3" w:rsidP="002617A1">
            <w:pPr>
              <w:rPr>
                <w:b/>
                <w:bCs/>
              </w:rPr>
            </w:pPr>
          </w:p>
        </w:tc>
        <w:tc>
          <w:tcPr>
            <w:tcW w:w="3117" w:type="dxa"/>
            <w:tcBorders>
              <w:bottom w:val="single" w:sz="18" w:space="0" w:color="auto"/>
            </w:tcBorders>
          </w:tcPr>
          <w:p w14:paraId="0A79869F" w14:textId="77777777" w:rsidR="002855B3" w:rsidRPr="00F47B05" w:rsidRDefault="002855B3" w:rsidP="002617A1">
            <w:pPr>
              <w:rPr>
                <w:b/>
                <w:bCs/>
              </w:rPr>
            </w:pPr>
            <w:r w:rsidRPr="00F47B05">
              <w:rPr>
                <w:b/>
                <w:bCs/>
              </w:rPr>
              <w:t>Thailand</w:t>
            </w:r>
          </w:p>
        </w:tc>
        <w:tc>
          <w:tcPr>
            <w:tcW w:w="3117" w:type="dxa"/>
            <w:tcBorders>
              <w:bottom w:val="single" w:sz="18" w:space="0" w:color="auto"/>
            </w:tcBorders>
          </w:tcPr>
          <w:p w14:paraId="732E36A9" w14:textId="77777777" w:rsidR="002855B3" w:rsidRPr="00F47B05" w:rsidRDefault="002855B3" w:rsidP="002617A1">
            <w:pPr>
              <w:rPr>
                <w:b/>
                <w:bCs/>
              </w:rPr>
            </w:pPr>
            <w:r w:rsidRPr="00F47B05">
              <w:rPr>
                <w:b/>
                <w:bCs/>
              </w:rPr>
              <w:t xml:space="preserve">Indonesia </w:t>
            </w:r>
          </w:p>
        </w:tc>
      </w:tr>
      <w:tr w:rsidR="002855B3" w14:paraId="7D9551E6" w14:textId="77777777" w:rsidTr="00F47B05">
        <w:tc>
          <w:tcPr>
            <w:tcW w:w="3116" w:type="dxa"/>
            <w:tcBorders>
              <w:top w:val="single" w:sz="18" w:space="0" w:color="auto"/>
            </w:tcBorders>
          </w:tcPr>
          <w:p w14:paraId="7B273EC3" w14:textId="77777777" w:rsidR="002855B3" w:rsidRDefault="002855B3" w:rsidP="002617A1">
            <w:r>
              <w:t>Population ages 10-14</w:t>
            </w:r>
          </w:p>
        </w:tc>
        <w:tc>
          <w:tcPr>
            <w:tcW w:w="3117" w:type="dxa"/>
            <w:tcBorders>
              <w:top w:val="single" w:sz="18" w:space="0" w:color="auto"/>
            </w:tcBorders>
          </w:tcPr>
          <w:p w14:paraId="2B9FC184" w14:textId="77777777" w:rsidR="002855B3" w:rsidRDefault="002855B3" w:rsidP="002617A1">
            <w:r>
              <w:t>11,713,808</w:t>
            </w:r>
          </w:p>
        </w:tc>
        <w:tc>
          <w:tcPr>
            <w:tcW w:w="3117" w:type="dxa"/>
            <w:tcBorders>
              <w:top w:val="single" w:sz="18" w:space="0" w:color="auto"/>
            </w:tcBorders>
          </w:tcPr>
          <w:p w14:paraId="2ACFB667" w14:textId="77777777" w:rsidR="002855B3" w:rsidRDefault="002855B3" w:rsidP="002617A1">
            <w:r>
              <w:t>70,944,492</w:t>
            </w:r>
          </w:p>
        </w:tc>
      </w:tr>
      <w:tr w:rsidR="002855B3" w14:paraId="0A4FCF50" w14:textId="77777777" w:rsidTr="002617A1">
        <w:tc>
          <w:tcPr>
            <w:tcW w:w="3116" w:type="dxa"/>
          </w:tcPr>
          <w:p w14:paraId="6473E581" w14:textId="77777777" w:rsidR="002855B3" w:rsidRDefault="002855B3" w:rsidP="002617A1">
            <w:r>
              <w:t>Total Population</w:t>
            </w:r>
          </w:p>
        </w:tc>
        <w:tc>
          <w:tcPr>
            <w:tcW w:w="3117" w:type="dxa"/>
          </w:tcPr>
          <w:p w14:paraId="4D3876EE" w14:textId="77777777" w:rsidR="002855B3" w:rsidRDefault="002855B3" w:rsidP="002617A1">
            <w:r>
              <w:t>69,625,581</w:t>
            </w:r>
          </w:p>
        </w:tc>
        <w:tc>
          <w:tcPr>
            <w:tcW w:w="3117" w:type="dxa"/>
          </w:tcPr>
          <w:p w14:paraId="0A3765FA" w14:textId="77777777" w:rsidR="002855B3" w:rsidRDefault="002855B3" w:rsidP="002617A1">
            <w:r>
              <w:t>270,625,567</w:t>
            </w:r>
          </w:p>
        </w:tc>
      </w:tr>
      <w:tr w:rsidR="002855B3" w14:paraId="37BB50B5" w14:textId="77777777" w:rsidTr="002617A1">
        <w:tc>
          <w:tcPr>
            <w:tcW w:w="3116" w:type="dxa"/>
          </w:tcPr>
          <w:p w14:paraId="32D0D8F9" w14:textId="77777777" w:rsidR="002855B3" w:rsidRDefault="002855B3" w:rsidP="002617A1">
            <w:r>
              <w:t>% Population ages 10-14</w:t>
            </w:r>
          </w:p>
        </w:tc>
        <w:tc>
          <w:tcPr>
            <w:tcW w:w="3117" w:type="dxa"/>
          </w:tcPr>
          <w:p w14:paraId="1120A90B" w14:textId="77777777" w:rsidR="002855B3" w:rsidRDefault="002855B3" w:rsidP="002617A1">
            <w:r>
              <w:t>16.824</w:t>
            </w:r>
          </w:p>
        </w:tc>
        <w:tc>
          <w:tcPr>
            <w:tcW w:w="3117" w:type="dxa"/>
          </w:tcPr>
          <w:p w14:paraId="2D01C3A5" w14:textId="77777777" w:rsidR="002855B3" w:rsidRDefault="002855B3" w:rsidP="002617A1">
            <w:r>
              <w:t>26.215</w:t>
            </w:r>
          </w:p>
        </w:tc>
      </w:tr>
    </w:tbl>
    <w:p w14:paraId="2813F956" w14:textId="35C1FCAB" w:rsidR="002855B3" w:rsidRDefault="002855B3" w:rsidP="002855B3"/>
    <w:p w14:paraId="6E07055C" w14:textId="1E658113" w:rsidR="00114E36" w:rsidRDefault="00114E36" w:rsidP="002855B3"/>
    <w:p w14:paraId="37158A0C" w14:textId="62FF899B" w:rsidR="00114E36" w:rsidRDefault="00114E36" w:rsidP="002855B3"/>
    <w:p w14:paraId="004EF793" w14:textId="77777777" w:rsidR="00003273" w:rsidRDefault="00003273" w:rsidP="002855B3"/>
    <w:p w14:paraId="215119F5" w14:textId="68D677BA" w:rsidR="002855B3" w:rsidRDefault="00425D4B" w:rsidP="002855B3">
      <w:r>
        <w:rPr>
          <w:b/>
          <w:bCs/>
        </w:rPr>
        <w:lastRenderedPageBreak/>
        <w:t>Table 4</w:t>
      </w:r>
      <w:r w:rsidR="002855B3">
        <w:t xml:space="preserve">: </w:t>
      </w:r>
      <w:r w:rsidR="002855B3" w:rsidRPr="00114E36">
        <w:rPr>
          <w:b/>
          <w:bCs/>
        </w:rPr>
        <w:t>Population in largest city, World bank 2019</w:t>
      </w:r>
    </w:p>
    <w:tbl>
      <w:tblPr>
        <w:tblStyle w:val="TableGrid"/>
        <w:tblW w:w="0" w:type="auto"/>
        <w:tblLook w:val="04A0" w:firstRow="1" w:lastRow="0" w:firstColumn="1" w:lastColumn="0" w:noHBand="0" w:noVBand="1"/>
      </w:tblPr>
      <w:tblGrid>
        <w:gridCol w:w="3116"/>
        <w:gridCol w:w="3117"/>
        <w:gridCol w:w="3117"/>
      </w:tblGrid>
      <w:tr w:rsidR="002855B3" w14:paraId="6D95C007" w14:textId="77777777" w:rsidTr="00F47B05">
        <w:tc>
          <w:tcPr>
            <w:tcW w:w="3116" w:type="dxa"/>
            <w:tcBorders>
              <w:bottom w:val="single" w:sz="18" w:space="0" w:color="auto"/>
            </w:tcBorders>
          </w:tcPr>
          <w:p w14:paraId="3F5D8AF2" w14:textId="77777777" w:rsidR="002855B3" w:rsidRPr="00F47B05" w:rsidRDefault="002855B3" w:rsidP="002617A1">
            <w:pPr>
              <w:rPr>
                <w:b/>
                <w:bCs/>
              </w:rPr>
            </w:pPr>
          </w:p>
        </w:tc>
        <w:tc>
          <w:tcPr>
            <w:tcW w:w="3117" w:type="dxa"/>
            <w:tcBorders>
              <w:bottom w:val="single" w:sz="18" w:space="0" w:color="auto"/>
            </w:tcBorders>
          </w:tcPr>
          <w:p w14:paraId="02A82F93" w14:textId="77777777" w:rsidR="002855B3" w:rsidRPr="00F47B05" w:rsidRDefault="002855B3" w:rsidP="002617A1">
            <w:pPr>
              <w:rPr>
                <w:b/>
                <w:bCs/>
              </w:rPr>
            </w:pPr>
            <w:r w:rsidRPr="00F47B05">
              <w:rPr>
                <w:b/>
                <w:bCs/>
              </w:rPr>
              <w:t>Thailand</w:t>
            </w:r>
          </w:p>
        </w:tc>
        <w:tc>
          <w:tcPr>
            <w:tcW w:w="3117" w:type="dxa"/>
            <w:tcBorders>
              <w:bottom w:val="single" w:sz="18" w:space="0" w:color="auto"/>
            </w:tcBorders>
          </w:tcPr>
          <w:p w14:paraId="0935BCB9" w14:textId="77777777" w:rsidR="002855B3" w:rsidRPr="00F47B05" w:rsidRDefault="002855B3" w:rsidP="002617A1">
            <w:pPr>
              <w:rPr>
                <w:b/>
                <w:bCs/>
              </w:rPr>
            </w:pPr>
            <w:r w:rsidRPr="00F47B05">
              <w:rPr>
                <w:b/>
                <w:bCs/>
              </w:rPr>
              <w:t>Indonesia</w:t>
            </w:r>
          </w:p>
        </w:tc>
      </w:tr>
      <w:tr w:rsidR="002855B3" w14:paraId="1CD79723" w14:textId="77777777" w:rsidTr="00F47B05">
        <w:tc>
          <w:tcPr>
            <w:tcW w:w="3116" w:type="dxa"/>
            <w:tcBorders>
              <w:top w:val="single" w:sz="18" w:space="0" w:color="auto"/>
            </w:tcBorders>
          </w:tcPr>
          <w:p w14:paraId="24F4AD91" w14:textId="77777777" w:rsidR="002855B3" w:rsidRDefault="002855B3" w:rsidP="002617A1">
            <w:r>
              <w:t>Population in largest city</w:t>
            </w:r>
          </w:p>
        </w:tc>
        <w:tc>
          <w:tcPr>
            <w:tcW w:w="3117" w:type="dxa"/>
            <w:tcBorders>
              <w:top w:val="single" w:sz="18" w:space="0" w:color="auto"/>
            </w:tcBorders>
          </w:tcPr>
          <w:p w14:paraId="59B366EB" w14:textId="2C228F89" w:rsidR="002855B3" w:rsidRDefault="002855B3" w:rsidP="002617A1">
            <w:r>
              <w:t>10,350,204</w:t>
            </w:r>
          </w:p>
        </w:tc>
        <w:tc>
          <w:tcPr>
            <w:tcW w:w="3117" w:type="dxa"/>
            <w:tcBorders>
              <w:top w:val="single" w:sz="18" w:space="0" w:color="auto"/>
            </w:tcBorders>
          </w:tcPr>
          <w:p w14:paraId="52803E01" w14:textId="13FA4B11" w:rsidR="002855B3" w:rsidRDefault="002855B3" w:rsidP="002617A1">
            <w:r>
              <w:t>10,638,689</w:t>
            </w:r>
          </w:p>
        </w:tc>
      </w:tr>
      <w:tr w:rsidR="002855B3" w14:paraId="7DC5EC8A" w14:textId="77777777" w:rsidTr="002617A1">
        <w:tc>
          <w:tcPr>
            <w:tcW w:w="3116" w:type="dxa"/>
          </w:tcPr>
          <w:p w14:paraId="15CDED56" w14:textId="77777777" w:rsidR="002855B3" w:rsidRDefault="002855B3" w:rsidP="002617A1">
            <w:r>
              <w:t>Total Population</w:t>
            </w:r>
          </w:p>
        </w:tc>
        <w:tc>
          <w:tcPr>
            <w:tcW w:w="3117" w:type="dxa"/>
          </w:tcPr>
          <w:p w14:paraId="1816CAFF" w14:textId="77777777" w:rsidR="002855B3" w:rsidRDefault="002855B3" w:rsidP="002617A1">
            <w:r>
              <w:t>69,625,581</w:t>
            </w:r>
          </w:p>
        </w:tc>
        <w:tc>
          <w:tcPr>
            <w:tcW w:w="3117" w:type="dxa"/>
          </w:tcPr>
          <w:p w14:paraId="3D764871" w14:textId="77777777" w:rsidR="002855B3" w:rsidRDefault="002855B3" w:rsidP="002617A1">
            <w:r>
              <w:t>270,625,567</w:t>
            </w:r>
          </w:p>
        </w:tc>
      </w:tr>
      <w:tr w:rsidR="002855B3" w14:paraId="60E8E996" w14:textId="77777777" w:rsidTr="002617A1">
        <w:tc>
          <w:tcPr>
            <w:tcW w:w="3116" w:type="dxa"/>
          </w:tcPr>
          <w:p w14:paraId="2D107401" w14:textId="77777777" w:rsidR="002855B3" w:rsidRDefault="002855B3" w:rsidP="002617A1">
            <w:r>
              <w:t>% Population in largest city</w:t>
            </w:r>
          </w:p>
        </w:tc>
        <w:tc>
          <w:tcPr>
            <w:tcW w:w="3117" w:type="dxa"/>
          </w:tcPr>
          <w:p w14:paraId="6B3F063B" w14:textId="0E915F6C" w:rsidR="002855B3" w:rsidRDefault="002855B3" w:rsidP="002617A1">
            <w:r>
              <w:t>14.87</w:t>
            </w:r>
          </w:p>
        </w:tc>
        <w:tc>
          <w:tcPr>
            <w:tcW w:w="3117" w:type="dxa"/>
          </w:tcPr>
          <w:p w14:paraId="6BDEE44A" w14:textId="3C2DF1ED" w:rsidR="002855B3" w:rsidRDefault="002855B3" w:rsidP="002617A1">
            <w:r>
              <w:t>3.93</w:t>
            </w:r>
          </w:p>
        </w:tc>
      </w:tr>
    </w:tbl>
    <w:p w14:paraId="1A17B945" w14:textId="77777777" w:rsidR="002855B3" w:rsidRDefault="002855B3">
      <w:pPr>
        <w:rPr>
          <w:b/>
          <w:bCs/>
        </w:rPr>
      </w:pPr>
    </w:p>
    <w:p w14:paraId="0496B98A" w14:textId="7103528D" w:rsidR="002802CF" w:rsidRPr="00FD5034" w:rsidRDefault="00E8579C" w:rsidP="00F47B05">
      <w:pPr>
        <w:spacing w:line="480" w:lineRule="auto"/>
        <w:jc w:val="both"/>
        <w:rPr>
          <w:b/>
          <w:bCs/>
        </w:rPr>
      </w:pPr>
      <w:r>
        <w:rPr>
          <w:b/>
          <w:bCs/>
        </w:rPr>
        <w:t xml:space="preserve">Adjusting Total Cost of </w:t>
      </w:r>
      <w:r w:rsidR="000A38D9">
        <w:rPr>
          <w:b/>
          <w:bCs/>
        </w:rPr>
        <w:t>I</w:t>
      </w:r>
      <w:r>
        <w:rPr>
          <w:b/>
          <w:bCs/>
        </w:rPr>
        <w:t xml:space="preserve">mplementations: </w:t>
      </w:r>
    </w:p>
    <w:p w14:paraId="1E365EDC" w14:textId="3A284B42" w:rsidR="002855B3" w:rsidRDefault="002855B3" w:rsidP="00F47B05">
      <w:pPr>
        <w:spacing w:line="480" w:lineRule="auto"/>
        <w:jc w:val="both"/>
      </w:pPr>
      <w:r>
        <w:tab/>
        <w:t xml:space="preserve">The total costs of dengue vaccination, as proposed by </w:t>
      </w:r>
      <w:proofErr w:type="spellStart"/>
      <w:r>
        <w:t>Suwantika</w:t>
      </w:r>
      <w:proofErr w:type="spellEnd"/>
      <w:r>
        <w:t xml:space="preserve"> et al (202</w:t>
      </w:r>
      <w:r w:rsidR="001A53F4">
        <w:t>1</w:t>
      </w:r>
      <w:r>
        <w:t xml:space="preserve">) and </w:t>
      </w:r>
      <w:proofErr w:type="spellStart"/>
      <w:r w:rsidR="00287C10">
        <w:rPr>
          <w:i/>
          <w:iCs/>
        </w:rPr>
        <w:t>wMel</w:t>
      </w:r>
      <w:proofErr w:type="spellEnd"/>
      <w:r w:rsidR="00287C10">
        <w:rPr>
          <w:i/>
          <w:iCs/>
        </w:rPr>
        <w:t xml:space="preserve"> W</w:t>
      </w:r>
      <w:r w:rsidRPr="002855B3">
        <w:rPr>
          <w:i/>
          <w:iCs/>
        </w:rPr>
        <w:t>olbachia</w:t>
      </w:r>
      <w:r>
        <w:t xml:space="preserve">-implementation, as described by Brady et al (2020) were </w:t>
      </w:r>
      <w:r w:rsidR="001B0DF7">
        <w:t xml:space="preserve">adjusted based on key price </w:t>
      </w:r>
      <w:r w:rsidR="001B0DF7" w:rsidRPr="00F7579B">
        <w:t xml:space="preserve">indicators, seen in </w:t>
      </w:r>
      <w:r w:rsidR="001B0DF7" w:rsidRPr="00F7579B">
        <w:rPr>
          <w:b/>
          <w:bCs/>
        </w:rPr>
        <w:t>Table 5.</w:t>
      </w:r>
      <w:r w:rsidR="001B0DF7">
        <w:t xml:space="preserve"> </w:t>
      </w:r>
    </w:p>
    <w:p w14:paraId="0C4F2D63" w14:textId="77777777" w:rsidR="002855B3" w:rsidRDefault="002855B3"/>
    <w:p w14:paraId="26E1D0BA" w14:textId="4C50E9E8" w:rsidR="002855B3" w:rsidRPr="00A91D45" w:rsidRDefault="00425D4B" w:rsidP="002855B3">
      <w:pPr>
        <w:rPr>
          <w:b/>
          <w:bCs/>
        </w:rPr>
      </w:pPr>
      <w:r>
        <w:rPr>
          <w:b/>
          <w:bCs/>
        </w:rPr>
        <w:t>Table 5</w:t>
      </w:r>
      <w:r w:rsidR="002855B3">
        <w:t xml:space="preserve">: </w:t>
      </w:r>
      <w:r w:rsidR="001B0DF7" w:rsidRPr="00A91D45">
        <w:rPr>
          <w:b/>
          <w:bCs/>
        </w:rPr>
        <w:t>Comparison of Key Cost Indicators</w:t>
      </w:r>
      <w:r w:rsidR="00DD51EB" w:rsidRPr="00A91D45">
        <w:rPr>
          <w:b/>
          <w:bCs/>
        </w:rPr>
        <w:t xml:space="preserve"> (USD) </w:t>
      </w:r>
    </w:p>
    <w:tbl>
      <w:tblPr>
        <w:tblStyle w:val="TableGrid"/>
        <w:tblW w:w="9408" w:type="dxa"/>
        <w:tblLook w:val="04A0" w:firstRow="1" w:lastRow="0" w:firstColumn="1" w:lastColumn="0" w:noHBand="0" w:noVBand="1"/>
      </w:tblPr>
      <w:tblGrid>
        <w:gridCol w:w="3065"/>
        <w:gridCol w:w="3158"/>
        <w:gridCol w:w="3185"/>
      </w:tblGrid>
      <w:tr w:rsidR="002855B3" w14:paraId="6E08BAB9" w14:textId="77777777" w:rsidTr="00F47B05">
        <w:trPr>
          <w:trHeight w:val="236"/>
        </w:trPr>
        <w:tc>
          <w:tcPr>
            <w:tcW w:w="3065" w:type="dxa"/>
            <w:tcBorders>
              <w:bottom w:val="single" w:sz="18" w:space="0" w:color="auto"/>
            </w:tcBorders>
          </w:tcPr>
          <w:p w14:paraId="401128E4" w14:textId="77777777" w:rsidR="002855B3" w:rsidRPr="00F47B05" w:rsidRDefault="002855B3" w:rsidP="002617A1">
            <w:pPr>
              <w:rPr>
                <w:b/>
                <w:bCs/>
              </w:rPr>
            </w:pPr>
          </w:p>
        </w:tc>
        <w:tc>
          <w:tcPr>
            <w:tcW w:w="3158" w:type="dxa"/>
            <w:tcBorders>
              <w:bottom w:val="single" w:sz="18" w:space="0" w:color="auto"/>
            </w:tcBorders>
          </w:tcPr>
          <w:p w14:paraId="6D5A8AF1" w14:textId="77777777" w:rsidR="002855B3" w:rsidRPr="00F47B05" w:rsidRDefault="002855B3" w:rsidP="002617A1">
            <w:pPr>
              <w:rPr>
                <w:b/>
                <w:bCs/>
              </w:rPr>
            </w:pPr>
            <w:r w:rsidRPr="00F47B05">
              <w:rPr>
                <w:b/>
                <w:bCs/>
              </w:rPr>
              <w:t>Thailand</w:t>
            </w:r>
          </w:p>
        </w:tc>
        <w:tc>
          <w:tcPr>
            <w:tcW w:w="3185" w:type="dxa"/>
            <w:tcBorders>
              <w:bottom w:val="single" w:sz="18" w:space="0" w:color="auto"/>
            </w:tcBorders>
          </w:tcPr>
          <w:p w14:paraId="459130C4" w14:textId="77777777" w:rsidR="002855B3" w:rsidRPr="00F47B05" w:rsidRDefault="002855B3" w:rsidP="002617A1">
            <w:pPr>
              <w:rPr>
                <w:b/>
                <w:bCs/>
              </w:rPr>
            </w:pPr>
            <w:r w:rsidRPr="00F47B05">
              <w:rPr>
                <w:b/>
                <w:bCs/>
              </w:rPr>
              <w:t>Indonesia</w:t>
            </w:r>
          </w:p>
        </w:tc>
      </w:tr>
      <w:tr w:rsidR="002855B3" w14:paraId="191D1C8C" w14:textId="77777777" w:rsidTr="00F47B05">
        <w:trPr>
          <w:trHeight w:val="472"/>
        </w:trPr>
        <w:tc>
          <w:tcPr>
            <w:tcW w:w="3065" w:type="dxa"/>
            <w:tcBorders>
              <w:top w:val="single" w:sz="18" w:space="0" w:color="auto"/>
            </w:tcBorders>
          </w:tcPr>
          <w:p w14:paraId="5FF03E25" w14:textId="09B33757" w:rsidR="002855B3" w:rsidRDefault="001B0DF7" w:rsidP="002617A1">
            <w:r>
              <w:t xml:space="preserve">Cost of </w:t>
            </w:r>
            <w:proofErr w:type="spellStart"/>
            <w:r w:rsidRPr="00F7579B">
              <w:rPr>
                <w:i/>
                <w:iCs/>
              </w:rPr>
              <w:t>Dengvaxia</w:t>
            </w:r>
            <w:proofErr w:type="spellEnd"/>
            <w:r>
              <w:t xml:space="preserve"> (</w:t>
            </w:r>
            <w:r w:rsidR="007B0682">
              <w:t>unit cost per person</w:t>
            </w:r>
            <w:r>
              <w:t>)</w:t>
            </w:r>
            <w:r w:rsidR="00DD51EB">
              <w:t>, 2018</w:t>
            </w:r>
          </w:p>
        </w:tc>
        <w:tc>
          <w:tcPr>
            <w:tcW w:w="3158" w:type="dxa"/>
            <w:tcBorders>
              <w:top w:val="single" w:sz="18" w:space="0" w:color="auto"/>
            </w:tcBorders>
          </w:tcPr>
          <w:p w14:paraId="1E8D03DC" w14:textId="2E1D45F7" w:rsidR="002855B3" w:rsidRDefault="00DD51EB" w:rsidP="002617A1">
            <w:r>
              <w:t>$</w:t>
            </w:r>
            <w:r w:rsidR="007B0682">
              <w:t>324.9</w:t>
            </w:r>
            <w:r>
              <w:t>0</w:t>
            </w:r>
            <w:r w:rsidR="005F455A">
              <w:t xml:space="preserve"> </w:t>
            </w:r>
            <w:r w:rsidR="005F455A" w:rsidRPr="00114E36">
              <w:rPr>
                <w:sz w:val="21"/>
                <w:szCs w:val="21"/>
              </w:rPr>
              <w:t>(</w:t>
            </w:r>
            <w:proofErr w:type="spellStart"/>
            <w:r w:rsidR="005F455A" w:rsidRPr="00114E36">
              <w:rPr>
                <w:sz w:val="21"/>
                <w:szCs w:val="21"/>
              </w:rPr>
              <w:t>Joob</w:t>
            </w:r>
            <w:proofErr w:type="spellEnd"/>
            <w:r w:rsidR="005F455A" w:rsidRPr="00114E36">
              <w:rPr>
                <w:sz w:val="21"/>
                <w:szCs w:val="21"/>
              </w:rPr>
              <w:t xml:space="preserve"> and </w:t>
            </w:r>
            <w:proofErr w:type="spellStart"/>
            <w:r w:rsidR="005F455A" w:rsidRPr="00114E36">
              <w:rPr>
                <w:sz w:val="21"/>
                <w:szCs w:val="21"/>
              </w:rPr>
              <w:t>Wiwan</w:t>
            </w:r>
            <w:r w:rsidR="005A0B84" w:rsidRPr="00114E36">
              <w:rPr>
                <w:sz w:val="21"/>
                <w:szCs w:val="21"/>
              </w:rPr>
              <w:t>itkit</w:t>
            </w:r>
            <w:proofErr w:type="spellEnd"/>
            <w:r w:rsidR="005A0B84" w:rsidRPr="00114E36">
              <w:rPr>
                <w:sz w:val="21"/>
                <w:szCs w:val="21"/>
              </w:rPr>
              <w:t xml:space="preserve">, 2018) </w:t>
            </w:r>
          </w:p>
        </w:tc>
        <w:tc>
          <w:tcPr>
            <w:tcW w:w="3185" w:type="dxa"/>
            <w:tcBorders>
              <w:top w:val="single" w:sz="18" w:space="0" w:color="auto"/>
            </w:tcBorders>
          </w:tcPr>
          <w:p w14:paraId="22D9D069" w14:textId="18EE44BC" w:rsidR="002855B3" w:rsidRDefault="007B0682" w:rsidP="002617A1">
            <w:r>
              <w:t xml:space="preserve">$110.64 </w:t>
            </w:r>
            <w:r w:rsidRPr="00114E36">
              <w:rPr>
                <w:sz w:val="21"/>
                <w:szCs w:val="21"/>
              </w:rPr>
              <w:t>(</w:t>
            </w:r>
            <w:proofErr w:type="spellStart"/>
            <w:r w:rsidRPr="00114E36">
              <w:rPr>
                <w:sz w:val="21"/>
                <w:szCs w:val="21"/>
              </w:rPr>
              <w:t>Suwantika</w:t>
            </w:r>
            <w:proofErr w:type="spellEnd"/>
            <w:r w:rsidRPr="00114E36">
              <w:rPr>
                <w:sz w:val="21"/>
                <w:szCs w:val="21"/>
              </w:rPr>
              <w:t xml:space="preserve"> et al, 2021; Zeng, 2017</w:t>
            </w:r>
            <w:r w:rsidRPr="00114E36">
              <w:rPr>
                <w:sz w:val="21"/>
                <w:szCs w:val="21"/>
              </w:rPr>
              <w:t xml:space="preserve">) </w:t>
            </w:r>
          </w:p>
        </w:tc>
      </w:tr>
      <w:tr w:rsidR="00D11D4B" w14:paraId="76BA0FCF" w14:textId="77777777" w:rsidTr="00F47B05">
        <w:trPr>
          <w:trHeight w:val="225"/>
        </w:trPr>
        <w:tc>
          <w:tcPr>
            <w:tcW w:w="3065" w:type="dxa"/>
          </w:tcPr>
          <w:p w14:paraId="2343FE01" w14:textId="100242C5" w:rsidR="00D11D4B" w:rsidRDefault="000E3518" w:rsidP="002617A1">
            <w:r>
              <w:t>Average salary for a person in the He</w:t>
            </w:r>
            <w:r w:rsidR="00D64AAF">
              <w:t>al</w:t>
            </w:r>
            <w:r>
              <w:t xml:space="preserve">th and Medical Field (2021) </w:t>
            </w:r>
          </w:p>
        </w:tc>
        <w:tc>
          <w:tcPr>
            <w:tcW w:w="3158" w:type="dxa"/>
          </w:tcPr>
          <w:p w14:paraId="0274253D" w14:textId="46B04552" w:rsidR="00D11D4B" w:rsidRDefault="00CE1AF2" w:rsidP="002617A1">
            <w:r>
              <w:t>$51,816.56</w:t>
            </w:r>
            <w:r w:rsidR="008F00D5">
              <w:t>/year</w:t>
            </w:r>
            <w:r w:rsidR="00A10301">
              <w:t xml:space="preserve"> </w:t>
            </w:r>
            <w:r w:rsidR="00A10301" w:rsidRPr="00114E36">
              <w:rPr>
                <w:sz w:val="21"/>
                <w:szCs w:val="21"/>
              </w:rPr>
              <w:t xml:space="preserve">(Salary Explorer) </w:t>
            </w:r>
          </w:p>
        </w:tc>
        <w:tc>
          <w:tcPr>
            <w:tcW w:w="3185" w:type="dxa"/>
          </w:tcPr>
          <w:p w14:paraId="3CC54377" w14:textId="1264027B" w:rsidR="00D11D4B" w:rsidRDefault="00DA0CDF" w:rsidP="002617A1">
            <w:r>
              <w:t>$15,</w:t>
            </w:r>
            <w:r w:rsidR="001D08C1">
              <w:t>170.34</w:t>
            </w:r>
            <w:r w:rsidR="008F00D5">
              <w:t>/year</w:t>
            </w:r>
            <w:r w:rsidR="00A10301">
              <w:t xml:space="preserve"> </w:t>
            </w:r>
            <w:r w:rsidR="00A10301" w:rsidRPr="00114E36">
              <w:rPr>
                <w:sz w:val="21"/>
                <w:szCs w:val="21"/>
              </w:rPr>
              <w:t xml:space="preserve">(Salary Explorer) </w:t>
            </w:r>
          </w:p>
        </w:tc>
      </w:tr>
      <w:tr w:rsidR="001B0DF7" w14:paraId="3945AF4B" w14:textId="77777777" w:rsidTr="00F47B05">
        <w:trPr>
          <w:trHeight w:val="225"/>
        </w:trPr>
        <w:tc>
          <w:tcPr>
            <w:tcW w:w="3065" w:type="dxa"/>
          </w:tcPr>
          <w:p w14:paraId="1E5D33A5" w14:textId="54A39B44" w:rsidR="001B0DF7" w:rsidRDefault="00DD51EB" w:rsidP="002617A1">
            <w:r>
              <w:t>Minimum wage, 2021</w:t>
            </w:r>
          </w:p>
        </w:tc>
        <w:tc>
          <w:tcPr>
            <w:tcW w:w="3158" w:type="dxa"/>
          </w:tcPr>
          <w:p w14:paraId="7892F8FC" w14:textId="24C5768A" w:rsidR="001B0DF7" w:rsidRDefault="00AB1491" w:rsidP="002617A1">
            <w:r>
              <w:t>~</w:t>
            </w:r>
            <w:r w:rsidR="00DD51EB">
              <w:t>$</w:t>
            </w:r>
            <w:r>
              <w:t>3,650</w:t>
            </w:r>
            <w:r w:rsidR="008F00D5">
              <w:t>/year</w:t>
            </w:r>
            <w:r w:rsidR="002D6D9E">
              <w:t xml:space="preserve"> </w:t>
            </w:r>
            <w:r w:rsidR="002D6D9E" w:rsidRPr="00114E36">
              <w:rPr>
                <w:sz w:val="21"/>
                <w:szCs w:val="21"/>
              </w:rPr>
              <w:t>(ASEAN Briefing)</w:t>
            </w:r>
          </w:p>
        </w:tc>
        <w:tc>
          <w:tcPr>
            <w:tcW w:w="3185" w:type="dxa"/>
          </w:tcPr>
          <w:p w14:paraId="3966D6A8" w14:textId="19366522" w:rsidR="001B0DF7" w:rsidRDefault="00AB1491" w:rsidP="002617A1">
            <w:r>
              <w:t>~</w:t>
            </w:r>
            <w:r w:rsidR="00DD51EB">
              <w:t>$</w:t>
            </w:r>
            <w:r w:rsidR="004540A4">
              <w:t>2,400</w:t>
            </w:r>
            <w:r w:rsidR="008F00D5">
              <w:t>/year</w:t>
            </w:r>
            <w:r w:rsidR="002D6D9E">
              <w:t xml:space="preserve"> </w:t>
            </w:r>
            <w:r w:rsidR="002D6D9E" w:rsidRPr="00114E36">
              <w:rPr>
                <w:sz w:val="21"/>
                <w:szCs w:val="21"/>
              </w:rPr>
              <w:t>(ASEAN Briefing)</w:t>
            </w:r>
          </w:p>
        </w:tc>
      </w:tr>
      <w:tr w:rsidR="00D00D5E" w14:paraId="3CCCAAE9" w14:textId="77777777" w:rsidTr="00F47B05">
        <w:trPr>
          <w:trHeight w:val="225"/>
        </w:trPr>
        <w:tc>
          <w:tcPr>
            <w:tcW w:w="3065" w:type="dxa"/>
          </w:tcPr>
          <w:p w14:paraId="2662A9CB" w14:textId="2AAF8D84" w:rsidR="00D00D5E" w:rsidRDefault="00D00D5E" w:rsidP="002617A1">
            <w:r>
              <w:t>Price of gas</w:t>
            </w:r>
            <w:r w:rsidR="003D1A1E">
              <w:t>, 2021</w:t>
            </w:r>
          </w:p>
        </w:tc>
        <w:tc>
          <w:tcPr>
            <w:tcW w:w="3158" w:type="dxa"/>
          </w:tcPr>
          <w:p w14:paraId="32188859" w14:textId="3E50E3CC" w:rsidR="00D00D5E" w:rsidRDefault="00A767B5" w:rsidP="002617A1">
            <w:r>
              <w:t>$1.</w:t>
            </w:r>
            <w:r w:rsidR="003D1A1E">
              <w:t>123/liter</w:t>
            </w:r>
            <w:r w:rsidR="00A10301">
              <w:t xml:space="preserve"> </w:t>
            </w:r>
            <w:r w:rsidR="00A10301" w:rsidRPr="00114E36">
              <w:rPr>
                <w:sz w:val="21"/>
                <w:szCs w:val="21"/>
              </w:rPr>
              <w:t>(Global Petrol Prices)</w:t>
            </w:r>
          </w:p>
        </w:tc>
        <w:tc>
          <w:tcPr>
            <w:tcW w:w="3185" w:type="dxa"/>
          </w:tcPr>
          <w:p w14:paraId="72338044" w14:textId="230AAA94" w:rsidR="00D00D5E" w:rsidRDefault="003D1A1E" w:rsidP="002617A1">
            <w:r>
              <w:t>$</w:t>
            </w:r>
            <w:r w:rsidR="00837CF7">
              <w:t>0.862/liter</w:t>
            </w:r>
            <w:r w:rsidR="00A10301">
              <w:t xml:space="preserve"> </w:t>
            </w:r>
            <w:r w:rsidR="00A10301" w:rsidRPr="00114E36">
              <w:rPr>
                <w:sz w:val="21"/>
                <w:szCs w:val="21"/>
              </w:rPr>
              <w:t>(Global Petrol Prices)</w:t>
            </w:r>
          </w:p>
        </w:tc>
      </w:tr>
      <w:tr w:rsidR="00C9255B" w14:paraId="5CC25D70" w14:textId="77777777" w:rsidTr="00F47B05">
        <w:trPr>
          <w:trHeight w:val="225"/>
        </w:trPr>
        <w:tc>
          <w:tcPr>
            <w:tcW w:w="3065" w:type="dxa"/>
          </w:tcPr>
          <w:p w14:paraId="62DCB1E1" w14:textId="12572AA7" w:rsidR="00C9255B" w:rsidRDefault="00C9255B" w:rsidP="002617A1">
            <w:r>
              <w:t>Area of Largest city</w:t>
            </w:r>
          </w:p>
        </w:tc>
        <w:tc>
          <w:tcPr>
            <w:tcW w:w="3158" w:type="dxa"/>
          </w:tcPr>
          <w:p w14:paraId="47A10098" w14:textId="4D5E0ABA" w:rsidR="00C9255B" w:rsidRDefault="00C9255B" w:rsidP="002617A1">
            <w:r>
              <w:t>1,568.7</w:t>
            </w:r>
            <w:r>
              <w:t xml:space="preserve"> sq km</w:t>
            </w:r>
            <w:r w:rsidR="00D42465">
              <w:t xml:space="preserve"> </w:t>
            </w:r>
            <w:r w:rsidR="00D42465" w:rsidRPr="00114E36">
              <w:rPr>
                <w:sz w:val="21"/>
                <w:szCs w:val="21"/>
              </w:rPr>
              <w:t xml:space="preserve">(World Bank) </w:t>
            </w:r>
          </w:p>
        </w:tc>
        <w:tc>
          <w:tcPr>
            <w:tcW w:w="3185" w:type="dxa"/>
          </w:tcPr>
          <w:p w14:paraId="06A0AABA" w14:textId="39D59C00" w:rsidR="00C9255B" w:rsidRDefault="00C9255B" w:rsidP="002617A1">
            <w:r>
              <w:t>764.48 sq km</w:t>
            </w:r>
            <w:r w:rsidR="00D42465">
              <w:t xml:space="preserve"> </w:t>
            </w:r>
            <w:r w:rsidR="00D42465" w:rsidRPr="00114E36">
              <w:rPr>
                <w:sz w:val="21"/>
                <w:szCs w:val="21"/>
              </w:rPr>
              <w:t>(World Bank)</w:t>
            </w:r>
          </w:p>
        </w:tc>
      </w:tr>
      <w:tr w:rsidR="00C16686" w14:paraId="7630DB2A" w14:textId="77777777" w:rsidTr="00F47B05">
        <w:trPr>
          <w:trHeight w:val="225"/>
        </w:trPr>
        <w:tc>
          <w:tcPr>
            <w:tcW w:w="3065" w:type="dxa"/>
          </w:tcPr>
          <w:p w14:paraId="17CD9632" w14:textId="144A4853" w:rsidR="00C16686" w:rsidRDefault="00C16686" w:rsidP="002617A1">
            <w:r>
              <w:t>CHE as % of GDP, 2018</w:t>
            </w:r>
          </w:p>
        </w:tc>
        <w:tc>
          <w:tcPr>
            <w:tcW w:w="3158" w:type="dxa"/>
          </w:tcPr>
          <w:p w14:paraId="4507CAB0" w14:textId="2F6902B6" w:rsidR="00C16686" w:rsidRDefault="00C16686" w:rsidP="002617A1">
            <w:r>
              <w:t>3.793%</w:t>
            </w:r>
            <w:r>
              <w:t xml:space="preserve"> </w:t>
            </w:r>
            <w:r w:rsidRPr="00114E36">
              <w:rPr>
                <w:sz w:val="21"/>
                <w:szCs w:val="21"/>
              </w:rPr>
              <w:t xml:space="preserve">(World Bank) </w:t>
            </w:r>
          </w:p>
        </w:tc>
        <w:tc>
          <w:tcPr>
            <w:tcW w:w="3185" w:type="dxa"/>
          </w:tcPr>
          <w:p w14:paraId="56F7A990" w14:textId="29609C6C" w:rsidR="00C16686" w:rsidRDefault="00C16686" w:rsidP="002617A1">
            <w:r>
              <w:t>2.781%.</w:t>
            </w:r>
            <w:r>
              <w:t xml:space="preserve"> </w:t>
            </w:r>
            <w:r w:rsidRPr="00114E36">
              <w:rPr>
                <w:sz w:val="21"/>
                <w:szCs w:val="21"/>
              </w:rPr>
              <w:t>(World Bank)</w:t>
            </w:r>
          </w:p>
        </w:tc>
      </w:tr>
      <w:tr w:rsidR="00C16686" w14:paraId="104E2EE7" w14:textId="77777777" w:rsidTr="00F47B05">
        <w:trPr>
          <w:trHeight w:val="225"/>
        </w:trPr>
        <w:tc>
          <w:tcPr>
            <w:tcW w:w="3065" w:type="dxa"/>
          </w:tcPr>
          <w:p w14:paraId="62828EDE" w14:textId="5E1DCC82" w:rsidR="00C16686" w:rsidRDefault="00C16686" w:rsidP="002617A1">
            <w:r>
              <w:t>GDP per capita, PPP, 2019</w:t>
            </w:r>
          </w:p>
        </w:tc>
        <w:tc>
          <w:tcPr>
            <w:tcW w:w="3158" w:type="dxa"/>
          </w:tcPr>
          <w:p w14:paraId="45AFBD7B" w14:textId="3ABCE8F2" w:rsidR="00C16686" w:rsidRDefault="00C16686" w:rsidP="002617A1">
            <w:r>
              <w:t>19,208.598</w:t>
            </w:r>
            <w:r>
              <w:t xml:space="preserve"> </w:t>
            </w:r>
            <w:r w:rsidRPr="00114E36">
              <w:rPr>
                <w:sz w:val="21"/>
                <w:szCs w:val="21"/>
              </w:rPr>
              <w:t>(World Bank)</w:t>
            </w:r>
          </w:p>
        </w:tc>
        <w:tc>
          <w:tcPr>
            <w:tcW w:w="3185" w:type="dxa"/>
          </w:tcPr>
          <w:p w14:paraId="0204E191" w14:textId="415B0CB7" w:rsidR="00C16686" w:rsidRDefault="00C16686" w:rsidP="002617A1">
            <w:r>
              <w:t>12,312.598</w:t>
            </w:r>
            <w:r>
              <w:t xml:space="preserve"> </w:t>
            </w:r>
            <w:r w:rsidRPr="00114E36">
              <w:rPr>
                <w:sz w:val="21"/>
                <w:szCs w:val="21"/>
              </w:rPr>
              <w:t>(World Bank)</w:t>
            </w:r>
          </w:p>
        </w:tc>
      </w:tr>
    </w:tbl>
    <w:p w14:paraId="463DEA65" w14:textId="77777777" w:rsidR="002855B3" w:rsidRDefault="002855B3"/>
    <w:p w14:paraId="0FC41D59" w14:textId="744A1B68" w:rsidR="00C84214" w:rsidRDefault="00F7579B" w:rsidP="00C84214">
      <w:pPr>
        <w:spacing w:line="480" w:lineRule="auto"/>
        <w:ind w:firstLine="720"/>
        <w:jc w:val="both"/>
      </w:pPr>
      <w:r>
        <w:t>Two key indicators were examined for each of the proposed interventions.</w:t>
      </w:r>
      <w:r w:rsidR="00FD5195">
        <w:t xml:space="preserve"> The cost of the dengue vaccine intervention was adjusted based on indicators for</w:t>
      </w:r>
      <w:r w:rsidR="00FD5195" w:rsidRPr="00114E36">
        <w:rPr>
          <w:i/>
          <w:iCs/>
        </w:rPr>
        <w:t xml:space="preserve"> </w:t>
      </w:r>
      <w:proofErr w:type="spellStart"/>
      <w:r w:rsidR="00FD5195" w:rsidRPr="00114E36">
        <w:rPr>
          <w:i/>
          <w:iCs/>
        </w:rPr>
        <w:t>Dengvaxia</w:t>
      </w:r>
      <w:proofErr w:type="spellEnd"/>
      <w:r w:rsidR="00FD5195">
        <w:t xml:space="preserve"> cost in each country and the annual salary of healthcare workers in each country. </w:t>
      </w:r>
      <w:r w:rsidR="00C84214">
        <w:t xml:space="preserve">Though the cost ratios for the proxy indicators are about three times higher in Thailand and Indonesia, because Thailand spends more on health than Indonesia, and </w:t>
      </w:r>
      <w:r w:rsidR="00C84214">
        <w:t xml:space="preserve">has a </w:t>
      </w:r>
      <w:r w:rsidR="00C84214">
        <w:t xml:space="preserve">greater Gross Domestic Product per capita, PPP, </w:t>
      </w:r>
      <w:r w:rsidR="00C84214">
        <w:t xml:space="preserve">the cost of dengue vaccine implementation in Thailand was </w:t>
      </w:r>
      <w:r w:rsidR="003B0F1D">
        <w:t>calculated</w:t>
      </w:r>
      <w:r w:rsidR="00C84214">
        <w:t xml:space="preserve"> as </w:t>
      </w:r>
      <w:r w:rsidR="003B0F1D">
        <w:t xml:space="preserve">a 20% increase on the cost of implementation in Indonesia. </w:t>
      </w:r>
    </w:p>
    <w:p w14:paraId="38D3AB8F" w14:textId="00BFDC0B" w:rsidR="00AB3288" w:rsidRDefault="003B0F1D" w:rsidP="003C07C6">
      <w:pPr>
        <w:spacing w:line="480" w:lineRule="auto"/>
        <w:ind w:firstLine="720"/>
        <w:jc w:val="both"/>
      </w:pPr>
      <w:r>
        <w:lastRenderedPageBreak/>
        <w:t>For the Wolbachia implementation, the cost indicators were slightly different. As the Wolbachia implementation does not specifically require healthcare workers</w:t>
      </w:r>
      <w:r w:rsidR="00A91D45">
        <w:t xml:space="preserve">, </w:t>
      </w:r>
      <w:r>
        <w:t xml:space="preserve">the minimum wage in each country per year was used as an indicator for cost instead of average salary of someone in the health and medical field. Additionally, because the Wolbachia intervention will likely involve a lot of travel to distribute the </w:t>
      </w:r>
      <w:r w:rsidR="002D689F">
        <w:t xml:space="preserve">infected mosquitoes, price of gas per liter in each country was used as a secondary indicator. </w:t>
      </w:r>
      <w:r w:rsidR="00C966BC">
        <w:t>The minimum wage is approximately 52% higher</w:t>
      </w:r>
      <w:r w:rsidR="009D3786">
        <w:t xml:space="preserve">, </w:t>
      </w:r>
      <w:r w:rsidR="00C966BC">
        <w:t xml:space="preserve">while the price of gas is approximately </w:t>
      </w:r>
      <w:r w:rsidR="009D3786">
        <w:t>30% higher in Thailand compared to Indonesia. Additionally, for the Wolbachia intervention, it is necessary to consider the area of implementation</w:t>
      </w:r>
      <w:r w:rsidR="00AB3288">
        <w:t>, as mosquito populations will be larger and implementation more costly for cities with greater land cover</w:t>
      </w:r>
      <w:r w:rsidR="00C16686">
        <w:t>. Jakarta is the largest city in Indonesia, with an implementation area of 764.48 square kilometers. For Thailand, the largest city is the capital of Bangkok, with an area of 1,568.7 square kilometers, making the implementation in Bangkok about 2 times larger than the implementation in Jakarta. For th</w:t>
      </w:r>
      <w:r w:rsidR="00AB3288">
        <w:t>ese</w:t>
      </w:r>
      <w:r w:rsidR="00C16686">
        <w:t xml:space="preserve"> reason</w:t>
      </w:r>
      <w:r w:rsidR="00AB3288">
        <w:t>s</w:t>
      </w:r>
      <w:r w:rsidR="00C16686">
        <w:t xml:space="preserve">, the cost of </w:t>
      </w:r>
      <w:proofErr w:type="spellStart"/>
      <w:r w:rsidR="00C16686">
        <w:rPr>
          <w:i/>
          <w:iCs/>
        </w:rPr>
        <w:t>wMel</w:t>
      </w:r>
      <w:proofErr w:type="spellEnd"/>
      <w:r w:rsidR="00C16686">
        <w:rPr>
          <w:i/>
          <w:iCs/>
        </w:rPr>
        <w:t xml:space="preserve"> W</w:t>
      </w:r>
      <w:r w:rsidR="00C16686" w:rsidRPr="00287C10">
        <w:rPr>
          <w:i/>
          <w:iCs/>
        </w:rPr>
        <w:t>olbachia</w:t>
      </w:r>
      <w:r w:rsidR="00C16686">
        <w:t xml:space="preserve"> implementation in </w:t>
      </w:r>
      <w:r w:rsidR="00C16686" w:rsidRPr="00454166">
        <w:t>Thailand was increased by</w:t>
      </w:r>
      <w:r w:rsidR="00C16686">
        <w:t xml:space="preserve"> </w:t>
      </w:r>
      <w:r w:rsidR="003C07C6">
        <w:t>a total of 30%, to account for the differences in indicators while acknowledging the additional amount allocated to health by Thailand</w:t>
      </w:r>
      <w:r w:rsidR="00C16686">
        <w:t xml:space="preserve">. </w:t>
      </w:r>
    </w:p>
    <w:p w14:paraId="29AA7EB0" w14:textId="0F763011" w:rsidR="002802CF" w:rsidRDefault="002855B3" w:rsidP="00F47B05">
      <w:pPr>
        <w:spacing w:line="480" w:lineRule="auto"/>
        <w:ind w:firstLine="720"/>
        <w:jc w:val="both"/>
      </w:pPr>
      <w:r>
        <w:t xml:space="preserve">The calculated costs for vaccination implementation, Wolbachia implementation, and overall cost comparisons can be seen in </w:t>
      </w:r>
      <w:r w:rsidR="00425D4B">
        <w:rPr>
          <w:b/>
          <w:bCs/>
        </w:rPr>
        <w:t>Table 6</w:t>
      </w:r>
      <w:r>
        <w:t xml:space="preserve">, </w:t>
      </w:r>
      <w:r w:rsidR="00425D4B">
        <w:rPr>
          <w:b/>
          <w:bCs/>
        </w:rPr>
        <w:t>Table 7</w:t>
      </w:r>
      <w:r>
        <w:t xml:space="preserve">, and </w:t>
      </w:r>
      <w:r w:rsidR="00425D4B">
        <w:rPr>
          <w:b/>
          <w:bCs/>
        </w:rPr>
        <w:t>Table 8</w:t>
      </w:r>
      <w:r>
        <w:t xml:space="preserve">, respectively. </w:t>
      </w:r>
      <w:r w:rsidR="003C07C6">
        <w:t xml:space="preserve">Both Brady et al (2020) and </w:t>
      </w:r>
      <w:proofErr w:type="spellStart"/>
      <w:r w:rsidR="003C07C6">
        <w:t>Suwantika</w:t>
      </w:r>
      <w:proofErr w:type="spellEnd"/>
      <w:r w:rsidR="003C07C6">
        <w:t xml:space="preserve"> (2021) expressed the costs associated with their implementations in terms of 2018 USD, so no adjustments will be made for </w:t>
      </w:r>
      <w:r w:rsidR="00A91D45">
        <w:t>CPI</w:t>
      </w:r>
      <w:r w:rsidR="003C07C6">
        <w:t xml:space="preserve">, as the USD units for both are already equivalent. This means, however, that all program costs in Thailand will also be expressed in 2018 USD. </w:t>
      </w:r>
      <w:r w:rsidR="001A53F4">
        <w:t xml:space="preserve">The cost of </w:t>
      </w:r>
      <w:r w:rsidR="00F47B05">
        <w:t>d</w:t>
      </w:r>
      <w:r w:rsidR="001A53F4">
        <w:t xml:space="preserve">engue </w:t>
      </w:r>
      <w:r w:rsidR="00F47B05">
        <w:t>v</w:t>
      </w:r>
      <w:r w:rsidR="001A53F4">
        <w:t xml:space="preserve">accination was based on an implementation population of 4,710,100 children, which was the size of the cohort in the proposal by </w:t>
      </w:r>
      <w:proofErr w:type="spellStart"/>
      <w:r w:rsidR="001A53F4">
        <w:t>Suwantika</w:t>
      </w:r>
      <w:proofErr w:type="spellEnd"/>
      <w:r w:rsidR="001A53F4">
        <w:t xml:space="preserve"> et al (2021)</w:t>
      </w:r>
      <w:r w:rsidR="003F376B">
        <w:t>,</w:t>
      </w:r>
      <w:r w:rsidR="001A53F4">
        <w:t xml:space="preserve"> for both </w:t>
      </w:r>
      <w:r w:rsidR="001A53F4">
        <w:lastRenderedPageBreak/>
        <w:t xml:space="preserve">Indonesia and Thailand. The </w:t>
      </w:r>
      <w:r w:rsidR="003F376B">
        <w:t xml:space="preserve">unit costs of the Wolbachia implementations were based on the population in each </w:t>
      </w:r>
      <w:r w:rsidR="00C73C80">
        <w:t xml:space="preserve">of the largest cities where the implementation would take place. </w:t>
      </w:r>
    </w:p>
    <w:p w14:paraId="5F174513" w14:textId="77777777" w:rsidR="00C16686" w:rsidRDefault="00C16686" w:rsidP="00F47B05">
      <w:pPr>
        <w:spacing w:line="480" w:lineRule="auto"/>
        <w:ind w:firstLine="720"/>
        <w:jc w:val="both"/>
      </w:pPr>
    </w:p>
    <w:p w14:paraId="13C04308" w14:textId="77777777" w:rsidR="00425D4B" w:rsidRDefault="00425D4B">
      <w:pPr>
        <w:rPr>
          <w:b/>
          <w:bCs/>
        </w:rPr>
      </w:pPr>
      <w:r>
        <w:rPr>
          <w:b/>
          <w:bCs/>
        </w:rPr>
        <w:br w:type="page"/>
      </w:r>
    </w:p>
    <w:p w14:paraId="65930980" w14:textId="2E91358E" w:rsidR="002855B3" w:rsidRDefault="00425D4B" w:rsidP="002855B3">
      <w:r>
        <w:rPr>
          <w:b/>
          <w:bCs/>
        </w:rPr>
        <w:lastRenderedPageBreak/>
        <w:t>Table 6</w:t>
      </w:r>
      <w:r w:rsidR="002855B3">
        <w:t xml:space="preserve">: </w:t>
      </w:r>
      <w:r w:rsidR="002855B3" w:rsidRPr="00A91D45">
        <w:rPr>
          <w:b/>
          <w:bCs/>
        </w:rPr>
        <w:t>Cost Comparison for Dengue Vaccination</w:t>
      </w:r>
    </w:p>
    <w:tbl>
      <w:tblPr>
        <w:tblStyle w:val="TableGrid"/>
        <w:tblW w:w="0" w:type="auto"/>
        <w:tblLook w:val="04A0" w:firstRow="1" w:lastRow="0" w:firstColumn="1" w:lastColumn="0" w:noHBand="0" w:noVBand="1"/>
      </w:tblPr>
      <w:tblGrid>
        <w:gridCol w:w="3116"/>
        <w:gridCol w:w="3117"/>
        <w:gridCol w:w="3117"/>
      </w:tblGrid>
      <w:tr w:rsidR="002855B3" w14:paraId="0AA417F2" w14:textId="77777777" w:rsidTr="00F47B05">
        <w:tc>
          <w:tcPr>
            <w:tcW w:w="3116" w:type="dxa"/>
            <w:tcBorders>
              <w:bottom w:val="single" w:sz="18" w:space="0" w:color="auto"/>
            </w:tcBorders>
          </w:tcPr>
          <w:p w14:paraId="54E0622B" w14:textId="77777777" w:rsidR="002855B3" w:rsidRPr="00F47B05" w:rsidRDefault="002855B3" w:rsidP="002617A1">
            <w:pPr>
              <w:rPr>
                <w:b/>
                <w:bCs/>
              </w:rPr>
            </w:pPr>
          </w:p>
        </w:tc>
        <w:tc>
          <w:tcPr>
            <w:tcW w:w="3117" w:type="dxa"/>
            <w:tcBorders>
              <w:bottom w:val="single" w:sz="18" w:space="0" w:color="auto"/>
            </w:tcBorders>
          </w:tcPr>
          <w:p w14:paraId="3F22FBCA" w14:textId="77777777" w:rsidR="002855B3" w:rsidRPr="00F47B05" w:rsidRDefault="002855B3" w:rsidP="002617A1">
            <w:pPr>
              <w:rPr>
                <w:b/>
                <w:bCs/>
              </w:rPr>
            </w:pPr>
            <w:r w:rsidRPr="00F47B05">
              <w:rPr>
                <w:b/>
                <w:bCs/>
              </w:rPr>
              <w:t>Thailand</w:t>
            </w:r>
          </w:p>
        </w:tc>
        <w:tc>
          <w:tcPr>
            <w:tcW w:w="3117" w:type="dxa"/>
            <w:tcBorders>
              <w:bottom w:val="single" w:sz="18" w:space="0" w:color="auto"/>
            </w:tcBorders>
          </w:tcPr>
          <w:p w14:paraId="3C224B00" w14:textId="77777777" w:rsidR="002855B3" w:rsidRPr="00F47B05" w:rsidRDefault="002855B3" w:rsidP="002617A1">
            <w:pPr>
              <w:rPr>
                <w:b/>
                <w:bCs/>
              </w:rPr>
            </w:pPr>
            <w:r w:rsidRPr="00F47B05">
              <w:rPr>
                <w:b/>
                <w:bCs/>
              </w:rPr>
              <w:t xml:space="preserve">Indonesia </w:t>
            </w:r>
          </w:p>
        </w:tc>
      </w:tr>
      <w:tr w:rsidR="002855B3" w14:paraId="3520FECC" w14:textId="77777777" w:rsidTr="00F47B05">
        <w:tc>
          <w:tcPr>
            <w:tcW w:w="3116" w:type="dxa"/>
            <w:tcBorders>
              <w:top w:val="single" w:sz="18" w:space="0" w:color="auto"/>
            </w:tcBorders>
          </w:tcPr>
          <w:p w14:paraId="54374354" w14:textId="77777777" w:rsidR="002855B3" w:rsidRDefault="002855B3" w:rsidP="002617A1">
            <w:r>
              <w:t>Vaccine Price per dose</w:t>
            </w:r>
          </w:p>
        </w:tc>
        <w:tc>
          <w:tcPr>
            <w:tcW w:w="3117" w:type="dxa"/>
            <w:tcBorders>
              <w:top w:val="single" w:sz="18" w:space="0" w:color="auto"/>
            </w:tcBorders>
          </w:tcPr>
          <w:p w14:paraId="671ED1FE" w14:textId="63E9DECD" w:rsidR="002855B3" w:rsidRDefault="002855B3" w:rsidP="002617A1">
            <w:r>
              <w:t>$</w:t>
            </w:r>
            <w:r w:rsidR="00576608">
              <w:t>24</w:t>
            </w:r>
          </w:p>
        </w:tc>
        <w:tc>
          <w:tcPr>
            <w:tcW w:w="3117" w:type="dxa"/>
            <w:tcBorders>
              <w:top w:val="single" w:sz="18" w:space="0" w:color="auto"/>
            </w:tcBorders>
          </w:tcPr>
          <w:p w14:paraId="246AED5E" w14:textId="77777777" w:rsidR="002855B3" w:rsidRDefault="002855B3" w:rsidP="002617A1">
            <w:r>
              <w:t>$20</w:t>
            </w:r>
          </w:p>
        </w:tc>
      </w:tr>
      <w:tr w:rsidR="002855B3" w14:paraId="1B980612" w14:textId="77777777" w:rsidTr="002617A1">
        <w:tc>
          <w:tcPr>
            <w:tcW w:w="3116" w:type="dxa"/>
          </w:tcPr>
          <w:p w14:paraId="4DDBB52B" w14:textId="77777777" w:rsidR="002855B3" w:rsidRDefault="002855B3" w:rsidP="002617A1">
            <w:r>
              <w:t>Pre-vaccination screening cost per dose</w:t>
            </w:r>
          </w:p>
        </w:tc>
        <w:tc>
          <w:tcPr>
            <w:tcW w:w="3117" w:type="dxa"/>
          </w:tcPr>
          <w:p w14:paraId="00C22364" w14:textId="15563253" w:rsidR="002855B3" w:rsidRDefault="002855B3" w:rsidP="002617A1">
            <w:r>
              <w:t>$</w:t>
            </w:r>
            <w:r w:rsidR="00576608">
              <w:t>12</w:t>
            </w:r>
          </w:p>
        </w:tc>
        <w:tc>
          <w:tcPr>
            <w:tcW w:w="3117" w:type="dxa"/>
          </w:tcPr>
          <w:p w14:paraId="32D474F7" w14:textId="77777777" w:rsidR="002855B3" w:rsidRDefault="002855B3" w:rsidP="002617A1">
            <w:r>
              <w:t>$10</w:t>
            </w:r>
          </w:p>
        </w:tc>
      </w:tr>
      <w:tr w:rsidR="002855B3" w14:paraId="4343E628" w14:textId="77777777" w:rsidTr="002617A1">
        <w:tc>
          <w:tcPr>
            <w:tcW w:w="3116" w:type="dxa"/>
          </w:tcPr>
          <w:p w14:paraId="322D9374" w14:textId="77777777" w:rsidR="002855B3" w:rsidRDefault="002855B3" w:rsidP="002617A1">
            <w:r>
              <w:t>Cost of vaccine administration per dose</w:t>
            </w:r>
          </w:p>
        </w:tc>
        <w:tc>
          <w:tcPr>
            <w:tcW w:w="3117" w:type="dxa"/>
          </w:tcPr>
          <w:p w14:paraId="197EA019" w14:textId="6D701E28" w:rsidR="002855B3" w:rsidRDefault="002855B3" w:rsidP="002617A1">
            <w:r>
              <w:t>$</w:t>
            </w:r>
            <w:r w:rsidR="003F4001">
              <w:t>4.10</w:t>
            </w:r>
          </w:p>
        </w:tc>
        <w:tc>
          <w:tcPr>
            <w:tcW w:w="3117" w:type="dxa"/>
          </w:tcPr>
          <w:p w14:paraId="29D09DD6" w14:textId="77777777" w:rsidR="002855B3" w:rsidRDefault="002855B3" w:rsidP="002617A1">
            <w:r>
              <w:t>$3.42</w:t>
            </w:r>
          </w:p>
        </w:tc>
      </w:tr>
      <w:tr w:rsidR="002855B3" w14:paraId="0441C7DF" w14:textId="77777777" w:rsidTr="002617A1">
        <w:tc>
          <w:tcPr>
            <w:tcW w:w="3116" w:type="dxa"/>
          </w:tcPr>
          <w:p w14:paraId="1EE172B3" w14:textId="77777777" w:rsidR="002855B3" w:rsidRDefault="002855B3" w:rsidP="002617A1">
            <w:r>
              <w:t>Wastage (10%)</w:t>
            </w:r>
          </w:p>
        </w:tc>
        <w:tc>
          <w:tcPr>
            <w:tcW w:w="3117" w:type="dxa"/>
          </w:tcPr>
          <w:p w14:paraId="49F9F6DF" w14:textId="685601A2" w:rsidR="002855B3" w:rsidRDefault="002855B3" w:rsidP="002617A1">
            <w:r>
              <w:t>$</w:t>
            </w:r>
            <w:r w:rsidR="003F4001">
              <w:t>2.40</w:t>
            </w:r>
          </w:p>
        </w:tc>
        <w:tc>
          <w:tcPr>
            <w:tcW w:w="3117" w:type="dxa"/>
          </w:tcPr>
          <w:p w14:paraId="1580AB8C" w14:textId="77777777" w:rsidR="002855B3" w:rsidRDefault="002855B3" w:rsidP="002617A1">
            <w:r>
              <w:t>$2.00</w:t>
            </w:r>
          </w:p>
        </w:tc>
      </w:tr>
      <w:tr w:rsidR="002855B3" w14:paraId="158D21FA" w14:textId="77777777" w:rsidTr="002617A1">
        <w:tc>
          <w:tcPr>
            <w:tcW w:w="3116" w:type="dxa"/>
          </w:tcPr>
          <w:p w14:paraId="6A9D575A" w14:textId="77777777" w:rsidR="002855B3" w:rsidRDefault="002855B3" w:rsidP="002617A1">
            <w:r>
              <w:t xml:space="preserve">Cost to obtain dose (1hr opp. Cost) </w:t>
            </w:r>
          </w:p>
        </w:tc>
        <w:tc>
          <w:tcPr>
            <w:tcW w:w="3117" w:type="dxa"/>
          </w:tcPr>
          <w:p w14:paraId="312D1161" w14:textId="7552C65D" w:rsidR="002855B3" w:rsidRDefault="002855B3" w:rsidP="002617A1">
            <w:r>
              <w:t>$</w:t>
            </w:r>
            <w:r w:rsidR="003F4001">
              <w:t>1.38</w:t>
            </w:r>
          </w:p>
        </w:tc>
        <w:tc>
          <w:tcPr>
            <w:tcW w:w="3117" w:type="dxa"/>
          </w:tcPr>
          <w:p w14:paraId="29008F7B" w14:textId="77777777" w:rsidR="002855B3" w:rsidRDefault="002855B3" w:rsidP="002617A1">
            <w:r>
              <w:t>$1.15</w:t>
            </w:r>
          </w:p>
        </w:tc>
      </w:tr>
      <w:tr w:rsidR="002855B3" w14:paraId="7B15F044" w14:textId="77777777" w:rsidTr="002617A1">
        <w:tc>
          <w:tcPr>
            <w:tcW w:w="3116" w:type="dxa"/>
          </w:tcPr>
          <w:p w14:paraId="625D2173" w14:textId="77777777" w:rsidR="002855B3" w:rsidRDefault="002855B3" w:rsidP="002617A1">
            <w:r>
              <w:t>Side Effect Cost</w:t>
            </w:r>
          </w:p>
        </w:tc>
        <w:tc>
          <w:tcPr>
            <w:tcW w:w="3117" w:type="dxa"/>
          </w:tcPr>
          <w:p w14:paraId="29D92A5F" w14:textId="258B468A" w:rsidR="002855B3" w:rsidRDefault="002855B3" w:rsidP="002617A1">
            <w:r>
              <w:t>$</w:t>
            </w:r>
            <w:r w:rsidR="003F4001">
              <w:t>0.37</w:t>
            </w:r>
          </w:p>
        </w:tc>
        <w:tc>
          <w:tcPr>
            <w:tcW w:w="3117" w:type="dxa"/>
          </w:tcPr>
          <w:p w14:paraId="0B3B4014" w14:textId="77777777" w:rsidR="002855B3" w:rsidRDefault="002855B3" w:rsidP="002617A1">
            <w:r>
              <w:t>$0.31</w:t>
            </w:r>
          </w:p>
        </w:tc>
      </w:tr>
      <w:tr w:rsidR="002855B3" w14:paraId="5832E744" w14:textId="77777777" w:rsidTr="002617A1">
        <w:tc>
          <w:tcPr>
            <w:tcW w:w="3116" w:type="dxa"/>
          </w:tcPr>
          <w:p w14:paraId="13AF58F7" w14:textId="77777777" w:rsidR="002855B3" w:rsidRDefault="002855B3" w:rsidP="002617A1">
            <w:r>
              <w:t>Total Cost per dose</w:t>
            </w:r>
          </w:p>
          <w:p w14:paraId="48F4C3BD" w14:textId="77777777" w:rsidR="002855B3" w:rsidRDefault="002855B3" w:rsidP="002617A1"/>
        </w:tc>
        <w:tc>
          <w:tcPr>
            <w:tcW w:w="3117" w:type="dxa"/>
          </w:tcPr>
          <w:p w14:paraId="7105F27D" w14:textId="34E10A39" w:rsidR="002855B3" w:rsidRDefault="002855B3" w:rsidP="002617A1">
            <w:r>
              <w:t>$</w:t>
            </w:r>
            <w:r w:rsidR="000C34B8">
              <w:t>44.27</w:t>
            </w:r>
          </w:p>
        </w:tc>
        <w:tc>
          <w:tcPr>
            <w:tcW w:w="3117" w:type="dxa"/>
          </w:tcPr>
          <w:p w14:paraId="0C349488" w14:textId="77777777" w:rsidR="002855B3" w:rsidRDefault="002855B3" w:rsidP="002617A1">
            <w:r>
              <w:t>$36.88</w:t>
            </w:r>
          </w:p>
        </w:tc>
      </w:tr>
      <w:tr w:rsidR="002855B3" w14:paraId="4CFBD40D" w14:textId="77777777" w:rsidTr="002617A1">
        <w:tc>
          <w:tcPr>
            <w:tcW w:w="3116" w:type="dxa"/>
          </w:tcPr>
          <w:p w14:paraId="33DF0EF2" w14:textId="77777777" w:rsidR="002855B3" w:rsidRDefault="002855B3" w:rsidP="002617A1">
            <w:r>
              <w:t>Total Cost per person (3 doses)</w:t>
            </w:r>
          </w:p>
        </w:tc>
        <w:tc>
          <w:tcPr>
            <w:tcW w:w="3117" w:type="dxa"/>
          </w:tcPr>
          <w:p w14:paraId="0F4D1B54" w14:textId="20C427B3" w:rsidR="002855B3" w:rsidRDefault="002855B3" w:rsidP="002617A1">
            <w:r>
              <w:t>$</w:t>
            </w:r>
            <w:r w:rsidR="00845A5F">
              <w:t>132.77</w:t>
            </w:r>
          </w:p>
        </w:tc>
        <w:tc>
          <w:tcPr>
            <w:tcW w:w="3117" w:type="dxa"/>
          </w:tcPr>
          <w:p w14:paraId="1C1E2EF3" w14:textId="77777777" w:rsidR="002855B3" w:rsidRDefault="002855B3" w:rsidP="002617A1">
            <w:r>
              <w:t>$110.64</w:t>
            </w:r>
          </w:p>
        </w:tc>
      </w:tr>
      <w:tr w:rsidR="002855B3" w14:paraId="5745139C" w14:textId="77777777" w:rsidTr="002617A1">
        <w:tc>
          <w:tcPr>
            <w:tcW w:w="3116" w:type="dxa"/>
          </w:tcPr>
          <w:p w14:paraId="7402E444" w14:textId="64E22187" w:rsidR="002855B3" w:rsidRDefault="002855B3" w:rsidP="002617A1">
            <w:r>
              <w:t xml:space="preserve">Total Cost </w:t>
            </w:r>
            <w:r w:rsidR="001A53F4">
              <w:t xml:space="preserve">(if administered to 4,710,100 children) </w:t>
            </w:r>
          </w:p>
        </w:tc>
        <w:tc>
          <w:tcPr>
            <w:tcW w:w="3117" w:type="dxa"/>
          </w:tcPr>
          <w:p w14:paraId="2DFBF3F9" w14:textId="020F7009" w:rsidR="002855B3" w:rsidRDefault="002855B3" w:rsidP="002617A1">
            <w:r>
              <w:t>$</w:t>
            </w:r>
            <w:r w:rsidR="000C34B8">
              <w:t>625.36 million USD</w:t>
            </w:r>
          </w:p>
        </w:tc>
        <w:tc>
          <w:tcPr>
            <w:tcW w:w="3117" w:type="dxa"/>
          </w:tcPr>
          <w:p w14:paraId="35CB6742" w14:textId="6346167D" w:rsidR="002855B3" w:rsidRDefault="002855B3" w:rsidP="002617A1">
            <w:r>
              <w:t>$</w:t>
            </w:r>
            <w:r w:rsidR="001A53F4">
              <w:t>521 million USD</w:t>
            </w:r>
          </w:p>
        </w:tc>
      </w:tr>
      <w:tr w:rsidR="002855B3" w14:paraId="7A08A2E6" w14:textId="77777777" w:rsidTr="002617A1">
        <w:tc>
          <w:tcPr>
            <w:tcW w:w="3116" w:type="dxa"/>
          </w:tcPr>
          <w:p w14:paraId="100E3033" w14:textId="77777777" w:rsidR="002855B3" w:rsidRDefault="002855B3" w:rsidP="002617A1">
            <w:r>
              <w:t>Source</w:t>
            </w:r>
          </w:p>
        </w:tc>
        <w:tc>
          <w:tcPr>
            <w:tcW w:w="3117" w:type="dxa"/>
          </w:tcPr>
          <w:p w14:paraId="0B5BD6EB" w14:textId="77777777" w:rsidR="002855B3" w:rsidRDefault="002855B3" w:rsidP="002617A1">
            <w:r>
              <w:t>Calculated</w:t>
            </w:r>
          </w:p>
        </w:tc>
        <w:tc>
          <w:tcPr>
            <w:tcW w:w="3117" w:type="dxa"/>
          </w:tcPr>
          <w:p w14:paraId="5D50A64C" w14:textId="77777777" w:rsidR="002855B3" w:rsidRDefault="002855B3" w:rsidP="002617A1">
            <w:proofErr w:type="spellStart"/>
            <w:r>
              <w:t>Suwantika</w:t>
            </w:r>
            <w:proofErr w:type="spellEnd"/>
            <w:r>
              <w:t xml:space="preserve"> et al, 2021; Zeng, 2017</w:t>
            </w:r>
          </w:p>
        </w:tc>
      </w:tr>
    </w:tbl>
    <w:p w14:paraId="0080BB03" w14:textId="77777777" w:rsidR="002855B3" w:rsidRDefault="002855B3"/>
    <w:p w14:paraId="64807F7D" w14:textId="5ED54EB1" w:rsidR="00DD5741" w:rsidRPr="00A91D45" w:rsidRDefault="00425D4B">
      <w:pPr>
        <w:rPr>
          <w:b/>
          <w:bCs/>
        </w:rPr>
      </w:pPr>
      <w:r>
        <w:rPr>
          <w:b/>
          <w:bCs/>
        </w:rPr>
        <w:t>Table 7</w:t>
      </w:r>
      <w:r w:rsidR="00DD5741">
        <w:t xml:space="preserve">: </w:t>
      </w:r>
      <w:r w:rsidR="00DD5741" w:rsidRPr="00A91D45">
        <w:rPr>
          <w:b/>
          <w:bCs/>
        </w:rPr>
        <w:t>Cost Comparison for Wolbachia Implementation</w:t>
      </w:r>
    </w:p>
    <w:tbl>
      <w:tblPr>
        <w:tblStyle w:val="TableGrid"/>
        <w:tblW w:w="0" w:type="auto"/>
        <w:tblLook w:val="04A0" w:firstRow="1" w:lastRow="0" w:firstColumn="1" w:lastColumn="0" w:noHBand="0" w:noVBand="1"/>
      </w:tblPr>
      <w:tblGrid>
        <w:gridCol w:w="3116"/>
        <w:gridCol w:w="3117"/>
        <w:gridCol w:w="3117"/>
      </w:tblGrid>
      <w:tr w:rsidR="00DD5741" w14:paraId="028BF4C5" w14:textId="77777777" w:rsidTr="00F47B05">
        <w:tc>
          <w:tcPr>
            <w:tcW w:w="3116" w:type="dxa"/>
            <w:tcBorders>
              <w:bottom w:val="single" w:sz="18" w:space="0" w:color="auto"/>
            </w:tcBorders>
          </w:tcPr>
          <w:p w14:paraId="15412644" w14:textId="77777777" w:rsidR="00DD5741" w:rsidRPr="00F47B05" w:rsidRDefault="00DD5741">
            <w:pPr>
              <w:rPr>
                <w:b/>
                <w:bCs/>
              </w:rPr>
            </w:pPr>
          </w:p>
        </w:tc>
        <w:tc>
          <w:tcPr>
            <w:tcW w:w="3117" w:type="dxa"/>
            <w:tcBorders>
              <w:bottom w:val="single" w:sz="18" w:space="0" w:color="auto"/>
            </w:tcBorders>
          </w:tcPr>
          <w:p w14:paraId="7F65B52C" w14:textId="7A72792A" w:rsidR="00DD5741" w:rsidRPr="00F47B05" w:rsidRDefault="00836303">
            <w:pPr>
              <w:rPr>
                <w:b/>
                <w:bCs/>
              </w:rPr>
            </w:pPr>
            <w:r w:rsidRPr="00F47B05">
              <w:rPr>
                <w:b/>
                <w:bCs/>
              </w:rPr>
              <w:t>Thailand</w:t>
            </w:r>
          </w:p>
        </w:tc>
        <w:tc>
          <w:tcPr>
            <w:tcW w:w="3117" w:type="dxa"/>
            <w:tcBorders>
              <w:bottom w:val="single" w:sz="18" w:space="0" w:color="auto"/>
            </w:tcBorders>
          </w:tcPr>
          <w:p w14:paraId="7BE45B35" w14:textId="3A7201EC" w:rsidR="00DD5741" w:rsidRPr="00F47B05" w:rsidRDefault="00DD5741">
            <w:pPr>
              <w:rPr>
                <w:b/>
                <w:bCs/>
              </w:rPr>
            </w:pPr>
            <w:r w:rsidRPr="00F47B05">
              <w:rPr>
                <w:b/>
                <w:bCs/>
              </w:rPr>
              <w:t xml:space="preserve">Indonesia </w:t>
            </w:r>
          </w:p>
        </w:tc>
      </w:tr>
      <w:tr w:rsidR="00DD5741" w14:paraId="46AB4C27" w14:textId="77777777" w:rsidTr="00F47B05">
        <w:tc>
          <w:tcPr>
            <w:tcW w:w="3116" w:type="dxa"/>
            <w:tcBorders>
              <w:top w:val="single" w:sz="18" w:space="0" w:color="auto"/>
            </w:tcBorders>
          </w:tcPr>
          <w:p w14:paraId="4E39EE6D" w14:textId="01AE534C" w:rsidR="00DD5741" w:rsidRDefault="00DD5741">
            <w:r>
              <w:t>Total Cost</w:t>
            </w:r>
          </w:p>
        </w:tc>
        <w:tc>
          <w:tcPr>
            <w:tcW w:w="3117" w:type="dxa"/>
            <w:tcBorders>
              <w:top w:val="single" w:sz="18" w:space="0" w:color="auto"/>
            </w:tcBorders>
          </w:tcPr>
          <w:p w14:paraId="1F7CA2AB" w14:textId="5524E6D8" w:rsidR="00DD5741" w:rsidRDefault="00576608">
            <w:r>
              <w:t>$173.29 million USD</w:t>
            </w:r>
          </w:p>
        </w:tc>
        <w:tc>
          <w:tcPr>
            <w:tcW w:w="3117" w:type="dxa"/>
            <w:tcBorders>
              <w:top w:val="single" w:sz="18" w:space="0" w:color="auto"/>
            </w:tcBorders>
          </w:tcPr>
          <w:p w14:paraId="0B794727" w14:textId="1E153DC9" w:rsidR="00DD5741" w:rsidRDefault="00576608">
            <w:r>
              <w:t>$</w:t>
            </w:r>
            <w:r w:rsidR="00D94E6F">
              <w:t>133.30</w:t>
            </w:r>
            <w:r w:rsidR="001E5291">
              <w:t xml:space="preserve"> million USD</w:t>
            </w:r>
          </w:p>
        </w:tc>
      </w:tr>
      <w:tr w:rsidR="002855B3" w14:paraId="0731A9B3" w14:textId="77777777" w:rsidTr="00DD5741">
        <w:tc>
          <w:tcPr>
            <w:tcW w:w="3116" w:type="dxa"/>
          </w:tcPr>
          <w:p w14:paraId="059D709B" w14:textId="003494D5" w:rsidR="002855B3" w:rsidRDefault="002855B3">
            <w:r>
              <w:t>Cost per person covered, all in largest city</w:t>
            </w:r>
          </w:p>
        </w:tc>
        <w:tc>
          <w:tcPr>
            <w:tcW w:w="3117" w:type="dxa"/>
          </w:tcPr>
          <w:p w14:paraId="03F58B48" w14:textId="2B53B2EF" w:rsidR="002855B3" w:rsidRDefault="002855B3">
            <w:r>
              <w:t>$</w:t>
            </w:r>
            <w:r w:rsidR="005A5844">
              <w:t>16.74 USD</w:t>
            </w:r>
          </w:p>
        </w:tc>
        <w:tc>
          <w:tcPr>
            <w:tcW w:w="3117" w:type="dxa"/>
          </w:tcPr>
          <w:p w14:paraId="7DECF9A2" w14:textId="6BFFEDD9" w:rsidR="002855B3" w:rsidRDefault="002855B3">
            <w:r>
              <w:t>$</w:t>
            </w:r>
            <w:r w:rsidR="00D94E6F">
              <w:t>12.5</w:t>
            </w:r>
            <w:r w:rsidR="001A53F4">
              <w:t>0 USD</w:t>
            </w:r>
          </w:p>
        </w:tc>
      </w:tr>
      <w:tr w:rsidR="00DD5741" w14:paraId="413CA6BF" w14:textId="77777777" w:rsidTr="00DD5741">
        <w:tc>
          <w:tcPr>
            <w:tcW w:w="3116" w:type="dxa"/>
          </w:tcPr>
          <w:p w14:paraId="34955BB8" w14:textId="440ABE7B" w:rsidR="00DD5741" w:rsidRDefault="000B685B">
            <w:r>
              <w:t>Source</w:t>
            </w:r>
          </w:p>
        </w:tc>
        <w:tc>
          <w:tcPr>
            <w:tcW w:w="3117" w:type="dxa"/>
          </w:tcPr>
          <w:p w14:paraId="60EC7CBB" w14:textId="7FD87DEA" w:rsidR="00DD5741" w:rsidRDefault="000B685B">
            <w:r>
              <w:t>Calculated</w:t>
            </w:r>
          </w:p>
        </w:tc>
        <w:tc>
          <w:tcPr>
            <w:tcW w:w="3117" w:type="dxa"/>
          </w:tcPr>
          <w:p w14:paraId="6B79F86F" w14:textId="354522C3" w:rsidR="00DD5741" w:rsidRDefault="000B685B">
            <w:r>
              <w:t>Brady et al, 2020</w:t>
            </w:r>
          </w:p>
        </w:tc>
      </w:tr>
    </w:tbl>
    <w:p w14:paraId="2B103366" w14:textId="77777777" w:rsidR="00017546" w:rsidRDefault="00017546"/>
    <w:p w14:paraId="05F10EAD" w14:textId="4CE5FFC0" w:rsidR="00EB75B9" w:rsidRDefault="00425D4B">
      <w:r>
        <w:rPr>
          <w:b/>
          <w:bCs/>
        </w:rPr>
        <w:t>Table 8</w:t>
      </w:r>
      <w:r w:rsidR="00EB75B9">
        <w:t xml:space="preserve">: </w:t>
      </w:r>
      <w:r w:rsidR="00EB75B9" w:rsidRPr="00A91D45">
        <w:rPr>
          <w:b/>
          <w:bCs/>
        </w:rPr>
        <w:t xml:space="preserve">Cost Comparisons for </w:t>
      </w:r>
      <w:r w:rsidR="001A53F4" w:rsidRPr="00A91D45">
        <w:rPr>
          <w:b/>
          <w:bCs/>
        </w:rPr>
        <w:t>All Implementations</w:t>
      </w:r>
    </w:p>
    <w:tbl>
      <w:tblPr>
        <w:tblStyle w:val="TableGrid"/>
        <w:tblW w:w="9359" w:type="dxa"/>
        <w:tblLook w:val="04A0" w:firstRow="1" w:lastRow="0" w:firstColumn="1" w:lastColumn="0" w:noHBand="0" w:noVBand="1"/>
      </w:tblPr>
      <w:tblGrid>
        <w:gridCol w:w="1421"/>
        <w:gridCol w:w="1748"/>
        <w:gridCol w:w="1986"/>
        <w:gridCol w:w="2218"/>
        <w:gridCol w:w="1986"/>
      </w:tblGrid>
      <w:tr w:rsidR="001E5291" w14:paraId="21443961" w14:textId="3AADA178" w:rsidTr="00F47B05">
        <w:trPr>
          <w:trHeight w:val="841"/>
        </w:trPr>
        <w:tc>
          <w:tcPr>
            <w:tcW w:w="1421" w:type="dxa"/>
            <w:tcBorders>
              <w:bottom w:val="single" w:sz="18" w:space="0" w:color="auto"/>
            </w:tcBorders>
          </w:tcPr>
          <w:p w14:paraId="14FC5231" w14:textId="77777777" w:rsidR="001E5291" w:rsidRPr="00F47B05" w:rsidRDefault="001E5291">
            <w:pPr>
              <w:rPr>
                <w:b/>
                <w:bCs/>
              </w:rPr>
            </w:pPr>
          </w:p>
        </w:tc>
        <w:tc>
          <w:tcPr>
            <w:tcW w:w="1748" w:type="dxa"/>
            <w:tcBorders>
              <w:bottom w:val="single" w:sz="18" w:space="0" w:color="auto"/>
            </w:tcBorders>
          </w:tcPr>
          <w:p w14:paraId="059D4468" w14:textId="68CEABC0" w:rsidR="001E5291" w:rsidRPr="00F47B05" w:rsidRDefault="00F47B05">
            <w:pPr>
              <w:rPr>
                <w:b/>
                <w:bCs/>
              </w:rPr>
            </w:pPr>
            <w:proofErr w:type="spellStart"/>
            <w:r w:rsidRPr="00F47B05">
              <w:rPr>
                <w:b/>
                <w:bCs/>
                <w:i/>
                <w:iCs/>
              </w:rPr>
              <w:t>wMel</w:t>
            </w:r>
            <w:proofErr w:type="spellEnd"/>
            <w:r w:rsidRPr="00F47B05">
              <w:rPr>
                <w:b/>
                <w:bCs/>
                <w:i/>
                <w:iCs/>
              </w:rPr>
              <w:t xml:space="preserve"> Wolbachia</w:t>
            </w:r>
            <w:r w:rsidRPr="00F47B05">
              <w:rPr>
                <w:b/>
                <w:bCs/>
              </w:rPr>
              <w:t xml:space="preserve"> Control</w:t>
            </w:r>
            <w:r w:rsidR="001E5291" w:rsidRPr="00F47B05">
              <w:rPr>
                <w:b/>
                <w:bCs/>
              </w:rPr>
              <w:t xml:space="preserve">, </w:t>
            </w:r>
          </w:p>
          <w:p w14:paraId="3F8E5176" w14:textId="39B00208" w:rsidR="001E5291" w:rsidRPr="00F47B05" w:rsidRDefault="001E5291">
            <w:pPr>
              <w:rPr>
                <w:b/>
                <w:bCs/>
                <w:highlight w:val="yellow"/>
              </w:rPr>
            </w:pPr>
            <w:r w:rsidRPr="00F47B05">
              <w:rPr>
                <w:b/>
                <w:bCs/>
              </w:rPr>
              <w:t>Thailand</w:t>
            </w:r>
          </w:p>
        </w:tc>
        <w:tc>
          <w:tcPr>
            <w:tcW w:w="1986" w:type="dxa"/>
            <w:tcBorders>
              <w:bottom w:val="single" w:sz="18" w:space="0" w:color="auto"/>
            </w:tcBorders>
          </w:tcPr>
          <w:p w14:paraId="5E90651B" w14:textId="1643C173" w:rsidR="001E5291" w:rsidRPr="00F47B05" w:rsidRDefault="001E5291">
            <w:pPr>
              <w:rPr>
                <w:b/>
                <w:bCs/>
                <w:highlight w:val="yellow"/>
              </w:rPr>
            </w:pPr>
            <w:r w:rsidRPr="00F47B05">
              <w:rPr>
                <w:b/>
                <w:bCs/>
              </w:rPr>
              <w:t>Dengue Vaccination, Thailand</w:t>
            </w:r>
          </w:p>
        </w:tc>
        <w:tc>
          <w:tcPr>
            <w:tcW w:w="2218" w:type="dxa"/>
            <w:tcBorders>
              <w:bottom w:val="single" w:sz="18" w:space="0" w:color="auto"/>
            </w:tcBorders>
          </w:tcPr>
          <w:p w14:paraId="5DA1BFB4" w14:textId="58D1C008" w:rsidR="001E5291" w:rsidRPr="00F47B05" w:rsidRDefault="00F47B05">
            <w:pPr>
              <w:rPr>
                <w:b/>
                <w:bCs/>
              </w:rPr>
            </w:pPr>
            <w:r w:rsidRPr="00F47B05">
              <w:rPr>
                <w:b/>
                <w:bCs/>
                <w:i/>
                <w:iCs/>
              </w:rPr>
              <w:t xml:space="preserve"> </w:t>
            </w:r>
            <w:proofErr w:type="spellStart"/>
            <w:r w:rsidRPr="00F47B05">
              <w:rPr>
                <w:b/>
                <w:bCs/>
                <w:i/>
                <w:iCs/>
              </w:rPr>
              <w:t>wMel</w:t>
            </w:r>
            <w:proofErr w:type="spellEnd"/>
            <w:r w:rsidRPr="00F47B05">
              <w:rPr>
                <w:b/>
                <w:bCs/>
                <w:i/>
                <w:iCs/>
              </w:rPr>
              <w:t xml:space="preserve"> Wolbachia</w:t>
            </w:r>
            <w:r w:rsidRPr="00F47B05">
              <w:rPr>
                <w:b/>
                <w:bCs/>
              </w:rPr>
              <w:t xml:space="preserve"> Control</w:t>
            </w:r>
            <w:r w:rsidR="001E5291" w:rsidRPr="00F47B05">
              <w:rPr>
                <w:b/>
                <w:bCs/>
              </w:rPr>
              <w:t>, Indonesia</w:t>
            </w:r>
          </w:p>
        </w:tc>
        <w:tc>
          <w:tcPr>
            <w:tcW w:w="1986" w:type="dxa"/>
            <w:tcBorders>
              <w:bottom w:val="single" w:sz="18" w:space="0" w:color="auto"/>
            </w:tcBorders>
          </w:tcPr>
          <w:p w14:paraId="3DD6F68E" w14:textId="6AE55509" w:rsidR="001E5291" w:rsidRPr="00F47B05" w:rsidRDefault="001E5291">
            <w:pPr>
              <w:rPr>
                <w:b/>
                <w:bCs/>
              </w:rPr>
            </w:pPr>
            <w:r w:rsidRPr="00F47B05">
              <w:rPr>
                <w:b/>
                <w:bCs/>
              </w:rPr>
              <w:t>Dengue Vaccination, Indonesia</w:t>
            </w:r>
          </w:p>
        </w:tc>
      </w:tr>
      <w:tr w:rsidR="001E5291" w14:paraId="3E19A75D" w14:textId="6958E6EB" w:rsidTr="00F47B05">
        <w:trPr>
          <w:trHeight w:val="841"/>
        </w:trPr>
        <w:tc>
          <w:tcPr>
            <w:tcW w:w="1421" w:type="dxa"/>
            <w:tcBorders>
              <w:top w:val="single" w:sz="18" w:space="0" w:color="auto"/>
            </w:tcBorders>
          </w:tcPr>
          <w:p w14:paraId="515A01AC" w14:textId="0357B77A" w:rsidR="001E5291" w:rsidRDefault="001E5291">
            <w:r>
              <w:t>Total Cost</w:t>
            </w:r>
          </w:p>
        </w:tc>
        <w:tc>
          <w:tcPr>
            <w:tcW w:w="1748" w:type="dxa"/>
            <w:tcBorders>
              <w:top w:val="single" w:sz="18" w:space="0" w:color="auto"/>
            </w:tcBorders>
          </w:tcPr>
          <w:p w14:paraId="620BCB2E" w14:textId="4126C0B5" w:rsidR="001E5291" w:rsidRDefault="001A53F4">
            <w:r>
              <w:t>$</w:t>
            </w:r>
            <w:r w:rsidR="00EF4BEA">
              <w:t>173.29 million USD</w:t>
            </w:r>
          </w:p>
        </w:tc>
        <w:tc>
          <w:tcPr>
            <w:tcW w:w="1986" w:type="dxa"/>
            <w:tcBorders>
              <w:top w:val="single" w:sz="18" w:space="0" w:color="auto"/>
            </w:tcBorders>
          </w:tcPr>
          <w:p w14:paraId="27DDE87A" w14:textId="68709F65" w:rsidR="001E5291" w:rsidRDefault="001A53F4">
            <w:r>
              <w:t>$</w:t>
            </w:r>
            <w:r w:rsidR="00EF4BEA">
              <w:t>625.36 million USD</w:t>
            </w:r>
          </w:p>
        </w:tc>
        <w:tc>
          <w:tcPr>
            <w:tcW w:w="2218" w:type="dxa"/>
            <w:tcBorders>
              <w:top w:val="single" w:sz="18" w:space="0" w:color="auto"/>
            </w:tcBorders>
          </w:tcPr>
          <w:p w14:paraId="48068B45" w14:textId="3FB5C7F8" w:rsidR="001E5291" w:rsidRDefault="001A53F4">
            <w:r>
              <w:t>$</w:t>
            </w:r>
            <w:r w:rsidR="00FD5034" w:rsidRPr="00D94E6F">
              <w:t>133.3</w:t>
            </w:r>
            <w:r w:rsidR="002855B3" w:rsidRPr="00D94E6F">
              <w:t xml:space="preserve"> million USD</w:t>
            </w:r>
          </w:p>
        </w:tc>
        <w:tc>
          <w:tcPr>
            <w:tcW w:w="1986" w:type="dxa"/>
            <w:tcBorders>
              <w:top w:val="single" w:sz="18" w:space="0" w:color="auto"/>
            </w:tcBorders>
          </w:tcPr>
          <w:p w14:paraId="521092CE" w14:textId="6BA54900" w:rsidR="001E5291" w:rsidRDefault="001A53F4">
            <w:r>
              <w:t>$521 million USD</w:t>
            </w:r>
          </w:p>
        </w:tc>
      </w:tr>
      <w:tr w:rsidR="00F47B05" w14:paraId="4CCDE63C" w14:textId="77777777" w:rsidTr="00F47B05">
        <w:trPr>
          <w:trHeight w:val="1109"/>
        </w:trPr>
        <w:tc>
          <w:tcPr>
            <w:tcW w:w="1421" w:type="dxa"/>
          </w:tcPr>
          <w:p w14:paraId="4C35B311" w14:textId="45D4EA74" w:rsidR="00F47B05" w:rsidRDefault="00F47B05">
            <w:r>
              <w:t>Unit Cost per person covered</w:t>
            </w:r>
          </w:p>
        </w:tc>
        <w:tc>
          <w:tcPr>
            <w:tcW w:w="1748" w:type="dxa"/>
          </w:tcPr>
          <w:p w14:paraId="43236047" w14:textId="630D6D4E" w:rsidR="00F47B05" w:rsidRDefault="00F47B05">
            <w:r>
              <w:t>$</w:t>
            </w:r>
            <w:r w:rsidR="00EF4BEA">
              <w:t>16.74 USD</w:t>
            </w:r>
          </w:p>
        </w:tc>
        <w:tc>
          <w:tcPr>
            <w:tcW w:w="1986" w:type="dxa"/>
          </w:tcPr>
          <w:p w14:paraId="3F315A1C" w14:textId="2749D5FD" w:rsidR="00F47B05" w:rsidRDefault="00F47B05">
            <w:r>
              <w:t>$</w:t>
            </w:r>
            <w:r w:rsidR="00EF4BEA">
              <w:t>132.77 USD</w:t>
            </w:r>
          </w:p>
        </w:tc>
        <w:tc>
          <w:tcPr>
            <w:tcW w:w="2218" w:type="dxa"/>
          </w:tcPr>
          <w:p w14:paraId="635AC79A" w14:textId="64FBF9A0" w:rsidR="00F47B05" w:rsidRDefault="00F47B05">
            <w:r>
              <w:t>$12.</w:t>
            </w:r>
            <w:r w:rsidR="00EF4BEA">
              <w:t>5</w:t>
            </w:r>
            <w:r>
              <w:t>0 USD</w:t>
            </w:r>
          </w:p>
        </w:tc>
        <w:tc>
          <w:tcPr>
            <w:tcW w:w="1986" w:type="dxa"/>
          </w:tcPr>
          <w:p w14:paraId="2CA83A36" w14:textId="4B1CE038" w:rsidR="00F47B05" w:rsidRDefault="00F47B05">
            <w:r>
              <w:t>$110.64 USD</w:t>
            </w:r>
          </w:p>
        </w:tc>
      </w:tr>
      <w:tr w:rsidR="001E5291" w14:paraId="66763AE8" w14:textId="12F8F1C8" w:rsidTr="00F47B05">
        <w:trPr>
          <w:trHeight w:val="841"/>
        </w:trPr>
        <w:tc>
          <w:tcPr>
            <w:tcW w:w="1421" w:type="dxa"/>
          </w:tcPr>
          <w:p w14:paraId="793677B1" w14:textId="575642B6" w:rsidR="001E5291" w:rsidRDefault="001E5291">
            <w:r>
              <w:t>Source</w:t>
            </w:r>
          </w:p>
        </w:tc>
        <w:tc>
          <w:tcPr>
            <w:tcW w:w="1748" w:type="dxa"/>
          </w:tcPr>
          <w:p w14:paraId="092CA7A7" w14:textId="49DBEA48" w:rsidR="001E5291" w:rsidRDefault="001E5291">
            <w:r>
              <w:t>Calculated</w:t>
            </w:r>
          </w:p>
        </w:tc>
        <w:tc>
          <w:tcPr>
            <w:tcW w:w="1986" w:type="dxa"/>
          </w:tcPr>
          <w:p w14:paraId="4C8D089A" w14:textId="58D019A7" w:rsidR="001E5291" w:rsidRDefault="002855B3">
            <w:r>
              <w:t>Calculated</w:t>
            </w:r>
          </w:p>
        </w:tc>
        <w:tc>
          <w:tcPr>
            <w:tcW w:w="2218" w:type="dxa"/>
          </w:tcPr>
          <w:p w14:paraId="02573418" w14:textId="0F62AF94" w:rsidR="001E5291" w:rsidRDefault="002855B3">
            <w:r>
              <w:t>Brady et al, 2020</w:t>
            </w:r>
          </w:p>
        </w:tc>
        <w:tc>
          <w:tcPr>
            <w:tcW w:w="1986" w:type="dxa"/>
          </w:tcPr>
          <w:p w14:paraId="1098335A" w14:textId="7034DA52" w:rsidR="001E5291" w:rsidRDefault="001E5291">
            <w:proofErr w:type="spellStart"/>
            <w:r>
              <w:t>Suwantika</w:t>
            </w:r>
            <w:proofErr w:type="spellEnd"/>
            <w:r>
              <w:t>, 2021; Zeng, 2017</w:t>
            </w:r>
          </w:p>
        </w:tc>
      </w:tr>
    </w:tbl>
    <w:p w14:paraId="775EFFD1" w14:textId="77777777" w:rsidR="001E5291" w:rsidRDefault="001E5291"/>
    <w:p w14:paraId="43CA31A7" w14:textId="5F69D499" w:rsidR="002855B3" w:rsidRDefault="002855B3" w:rsidP="00D801EA">
      <w:pPr>
        <w:spacing w:line="480" w:lineRule="auto"/>
        <w:jc w:val="both"/>
      </w:pPr>
      <w:r>
        <w:tab/>
      </w:r>
      <w:r w:rsidR="003557D2">
        <w:t xml:space="preserve"> </w:t>
      </w:r>
    </w:p>
    <w:p w14:paraId="290D90DD" w14:textId="227C81DF" w:rsidR="002855B3" w:rsidRDefault="002855B3" w:rsidP="00454166">
      <w:pPr>
        <w:spacing w:line="480" w:lineRule="auto"/>
      </w:pPr>
      <w:r>
        <w:rPr>
          <w:b/>
          <w:bCs/>
        </w:rPr>
        <w:lastRenderedPageBreak/>
        <w:t xml:space="preserve">Calculation and Adjustment </w:t>
      </w:r>
      <w:r w:rsidRPr="002855B3">
        <w:rPr>
          <w:b/>
          <w:bCs/>
        </w:rPr>
        <w:t>Outcome Measures</w:t>
      </w:r>
      <w:r>
        <w:t xml:space="preserve">: </w:t>
      </w:r>
    </w:p>
    <w:p w14:paraId="56B83E2D" w14:textId="1610E12F" w:rsidR="002855B3" w:rsidRDefault="002855B3" w:rsidP="00454166">
      <w:pPr>
        <w:spacing w:line="480" w:lineRule="auto"/>
        <w:jc w:val="both"/>
      </w:pPr>
      <w:r>
        <w:tab/>
        <w:t xml:space="preserve">DALYs, or disability-adjusted life years, are a quantification of disease burden and deaths attributable to a certain cause in a population. As dengue results in both disability and death, DALYs will be used to compare the outcomes of each of the interventions. </w:t>
      </w:r>
      <w:r w:rsidR="00F47B05">
        <w:t>DALYs</w:t>
      </w:r>
      <w:r>
        <w:t xml:space="preserve"> averted can differ greatly between countries, as they are dependent on the type of intervention used, the disease burden, the resulting health outcomes, and the implementing healthcare system. The DALYs averted for the Dengue vaccination implementation in Thailand will be adjusted from the calculated cases and deaths averted from </w:t>
      </w:r>
      <w:proofErr w:type="spellStart"/>
      <w:r>
        <w:t>Suwantika</w:t>
      </w:r>
      <w:proofErr w:type="spellEnd"/>
      <w:r>
        <w:t xml:space="preserve"> et al (202</w:t>
      </w:r>
      <w:r w:rsidR="001A53F4">
        <w:t>1</w:t>
      </w:r>
      <w:r>
        <w:t xml:space="preserve">). The DALYs averted for </w:t>
      </w:r>
      <w:proofErr w:type="spellStart"/>
      <w:r w:rsidR="00287C10">
        <w:rPr>
          <w:i/>
          <w:iCs/>
        </w:rPr>
        <w:t>wMel</w:t>
      </w:r>
      <w:proofErr w:type="spellEnd"/>
      <w:r w:rsidR="00287C10">
        <w:rPr>
          <w:i/>
          <w:iCs/>
        </w:rPr>
        <w:t xml:space="preserve"> W</w:t>
      </w:r>
      <w:r w:rsidR="00287C10" w:rsidRPr="00287C10">
        <w:rPr>
          <w:i/>
          <w:iCs/>
        </w:rPr>
        <w:t>olbachia</w:t>
      </w:r>
      <w:r>
        <w:t xml:space="preserve"> implementation in Thailand are adjusted from the DALYs averted from</w:t>
      </w:r>
      <w:r w:rsidR="00F47B05">
        <w:t xml:space="preserve"> the</w:t>
      </w:r>
      <w:r>
        <w:t xml:space="preserve"> </w:t>
      </w:r>
      <w:r w:rsidR="00F47B05">
        <w:t xml:space="preserve">Brady et al (2020) </w:t>
      </w:r>
      <w:r>
        <w:t xml:space="preserve">mosquito-replacement </w:t>
      </w:r>
      <w:r w:rsidR="00F47B05">
        <w:t xml:space="preserve">proposal </w:t>
      </w:r>
      <w:r>
        <w:t xml:space="preserve">in Indonesia. </w:t>
      </w:r>
    </w:p>
    <w:p w14:paraId="38958495" w14:textId="77777777" w:rsidR="002855B3" w:rsidRDefault="002855B3" w:rsidP="009026AB">
      <w:pPr>
        <w:spacing w:line="480" w:lineRule="auto"/>
        <w:jc w:val="both"/>
      </w:pPr>
    </w:p>
    <w:p w14:paraId="45D2ADC6" w14:textId="77777777" w:rsidR="002855B3" w:rsidRDefault="002855B3" w:rsidP="009026AB">
      <w:pPr>
        <w:spacing w:line="480" w:lineRule="auto"/>
        <w:jc w:val="both"/>
      </w:pPr>
      <w:r w:rsidRPr="002855B3">
        <w:rPr>
          <w:b/>
          <w:bCs/>
        </w:rPr>
        <w:t>Converting DALYs</w:t>
      </w:r>
      <w:r>
        <w:rPr>
          <w:b/>
          <w:bCs/>
        </w:rPr>
        <w:t xml:space="preserve"> from </w:t>
      </w:r>
      <w:proofErr w:type="spellStart"/>
      <w:r>
        <w:rPr>
          <w:b/>
          <w:bCs/>
        </w:rPr>
        <w:t>Suwantika</w:t>
      </w:r>
      <w:proofErr w:type="spellEnd"/>
      <w:r>
        <w:rPr>
          <w:b/>
          <w:bCs/>
        </w:rPr>
        <w:t xml:space="preserve"> et al, 2020</w:t>
      </w:r>
      <w:r>
        <w:t xml:space="preserve">: </w:t>
      </w:r>
    </w:p>
    <w:p w14:paraId="40DC66AA" w14:textId="5445A88B" w:rsidR="002855B3" w:rsidRDefault="002855B3" w:rsidP="009026AB">
      <w:pPr>
        <w:spacing w:line="480" w:lineRule="auto"/>
        <w:jc w:val="both"/>
      </w:pPr>
      <w:r>
        <w:tab/>
      </w:r>
      <w:proofErr w:type="spellStart"/>
      <w:r>
        <w:t>Suwantika</w:t>
      </w:r>
      <w:proofErr w:type="spellEnd"/>
      <w:r>
        <w:t xml:space="preserve"> et al (202</w:t>
      </w:r>
      <w:r w:rsidR="009026AB">
        <w:t>1</w:t>
      </w:r>
      <w:r>
        <w:t xml:space="preserve">) estimate the number of averted cases and deaths due to dengue fever (DF) and dengue hemorrhagic fever (DHF), a more severe form of dengue experienced by some patients. Though </w:t>
      </w:r>
      <w:proofErr w:type="spellStart"/>
      <w:r>
        <w:t>Suwantika</w:t>
      </w:r>
      <w:proofErr w:type="spellEnd"/>
      <w:r>
        <w:t xml:space="preserve"> et al (202</w:t>
      </w:r>
      <w:r w:rsidR="009026AB">
        <w:t>1</w:t>
      </w:r>
      <w:r>
        <w:t xml:space="preserve">) classified their cost-effectiveness analysis in terms of QALYs gained, knowing the number of averted cases and deaths attributed to dengue, it is possible to calculate the DALYs averted with the formula: DALYs = YLL + YLD, where YLL represents the years of life lost, and YLD represents the number of years lived with disability. YLL is calculated by multiplying the number of deaths attributable to the disease by the standard life expectancy at the age of death. For their proposed implementation in Indonesia, </w:t>
      </w:r>
      <w:proofErr w:type="spellStart"/>
      <w:r>
        <w:t>Suwantika</w:t>
      </w:r>
      <w:proofErr w:type="spellEnd"/>
      <w:r>
        <w:t xml:space="preserve"> et al (202</w:t>
      </w:r>
      <w:r w:rsidR="009026AB">
        <w:t>1</w:t>
      </w:r>
      <w:r>
        <w:t>) estimated a total of 2,283 averted deaths</w:t>
      </w:r>
      <w:r w:rsidR="001A53F4">
        <w:t xml:space="preserve"> in their cohort of 4,710,100 children</w:t>
      </w:r>
      <w:r>
        <w:t xml:space="preserve">. Because this program was proposed for children between the recommended vaccination ages of 9-16, </w:t>
      </w:r>
      <w:r w:rsidR="00A91D45">
        <w:t>the</w:t>
      </w:r>
      <w:r>
        <w:t xml:space="preserve"> median age of </w:t>
      </w:r>
      <w:r w:rsidR="00A91D45">
        <w:t xml:space="preserve">which is </w:t>
      </w:r>
      <w:r>
        <w:t>12.5</w:t>
      </w:r>
      <w:r w:rsidR="00A91D45">
        <w:t>. T</w:t>
      </w:r>
      <w:r>
        <w:t xml:space="preserve">he average life expectancy in Indonesia is </w:t>
      </w:r>
      <w:r w:rsidRPr="002855B3">
        <w:t>71.716</w:t>
      </w:r>
      <w:r>
        <w:t xml:space="preserve"> (</w:t>
      </w:r>
      <w:r w:rsidR="00425D4B">
        <w:rPr>
          <w:b/>
          <w:bCs/>
        </w:rPr>
        <w:t>Table</w:t>
      </w:r>
      <w:r w:rsidRPr="002855B3">
        <w:rPr>
          <w:b/>
          <w:bCs/>
        </w:rPr>
        <w:t xml:space="preserve"> 2</w:t>
      </w:r>
      <w:r>
        <w:t>)</w:t>
      </w:r>
      <w:r w:rsidR="00A91D45">
        <w:t xml:space="preserve">, </w:t>
      </w:r>
      <w:r w:rsidR="00A91D45">
        <w:lastRenderedPageBreak/>
        <w:t xml:space="preserve">meaning </w:t>
      </w:r>
      <w:r>
        <w:t xml:space="preserve">the median standard life expectancy in years for this cohort at the time of death is 59.216 years. Overall, then, the YLL averted with dengue vaccination can be calculated as 2,283 </w:t>
      </w:r>
      <m:oMath>
        <m:r>
          <w:rPr>
            <w:rFonts w:ascii="Cambria Math" w:hAnsi="Cambria Math"/>
          </w:rPr>
          <m:t>×</m:t>
        </m:r>
      </m:oMath>
      <w:r>
        <w:t xml:space="preserve"> 59.216 = 135,190. </w:t>
      </w:r>
    </w:p>
    <w:p w14:paraId="7470DA09" w14:textId="073A22D5" w:rsidR="002855B3" w:rsidRDefault="002855B3" w:rsidP="009026AB">
      <w:pPr>
        <w:spacing w:line="480" w:lineRule="auto"/>
      </w:pPr>
      <w:r>
        <w:tab/>
        <w:t xml:space="preserve">YLD from dengue can be calculated with the formula YLD = </w:t>
      </w:r>
      <m:oMath>
        <m:r>
          <w:rPr>
            <w:rFonts w:ascii="Cambria Math" w:hAnsi="Cambria Math"/>
          </w:rPr>
          <m:t>l</m:t>
        </m:r>
      </m:oMath>
      <w:r w:rsidR="00A91D45">
        <w:t xml:space="preserve"> </w:t>
      </w:r>
      <m:oMath>
        <m:r>
          <w:rPr>
            <w:rFonts w:ascii="Cambria Math" w:hAnsi="Cambria Math"/>
          </w:rPr>
          <m:t>×</m:t>
        </m:r>
      </m:oMath>
      <w:r w:rsidR="00A91D45">
        <w:t xml:space="preserve"> </w:t>
      </w:r>
      <w:r>
        <w:t>DW</w:t>
      </w:r>
      <w:r w:rsidR="00A91D45">
        <w:t xml:space="preserve"> </w:t>
      </w:r>
      <m:oMath>
        <m:r>
          <w:rPr>
            <w:rFonts w:ascii="Cambria Math" w:hAnsi="Cambria Math"/>
          </w:rPr>
          <m:t>×</m:t>
        </m:r>
      </m:oMath>
      <w:r w:rsidR="00A91D45">
        <w:t xml:space="preserve"> </w:t>
      </w:r>
      <w:r>
        <w:t xml:space="preserve">L, where </w:t>
      </w:r>
      <m:oMath>
        <m:r>
          <w:rPr>
            <w:rFonts w:ascii="Cambria Math" w:hAnsi="Cambria Math"/>
          </w:rPr>
          <m:t>l</m:t>
        </m:r>
      </m:oMath>
      <w:r>
        <w:t xml:space="preserve"> = the number of incident cases, DW = the disability weight of dengue, and L = the average duration of the case until remission or death. In a 2015 paper based on the results of the 2010 Global Burden of Disease study, Salomon et al, estimated the healthy years of life lost as follows: </w:t>
      </w:r>
    </w:p>
    <w:p w14:paraId="35D3317D" w14:textId="021E4E40" w:rsidR="002855B3" w:rsidRDefault="002855B3" w:rsidP="009026AB">
      <w:pPr>
        <w:spacing w:line="480" w:lineRule="auto"/>
      </w:pPr>
    </w:p>
    <w:p w14:paraId="24058ADF" w14:textId="219E72F1" w:rsidR="002855B3" w:rsidRDefault="002855B3" w:rsidP="009026AB">
      <w:pPr>
        <w:spacing w:line="480" w:lineRule="auto"/>
        <w:ind w:left="720"/>
      </w:pPr>
      <w:r>
        <w:t xml:space="preserve">94.5% of symptomatic dengue cases are assigned a disability weight of 0.051 with a mean duration of six </w:t>
      </w:r>
      <w:proofErr w:type="gramStart"/>
      <w:r>
        <w:t>days;</w:t>
      </w:r>
      <w:proofErr w:type="gramEnd"/>
      <w:r>
        <w:t xml:space="preserve"> </w:t>
      </w:r>
    </w:p>
    <w:p w14:paraId="7D338FCB" w14:textId="56AC5D1E" w:rsidR="002855B3" w:rsidRDefault="002855B3" w:rsidP="009026AB">
      <w:pPr>
        <w:spacing w:line="480" w:lineRule="auto"/>
        <w:ind w:left="720"/>
      </w:pPr>
      <w:r>
        <w:t xml:space="preserve">5.5% of symptomatic dengue cases are assigned the disability weight of 0.133 with a mean duration of 14 </w:t>
      </w:r>
      <w:proofErr w:type="gramStart"/>
      <w:r>
        <w:t>days;</w:t>
      </w:r>
      <w:proofErr w:type="gramEnd"/>
      <w:r>
        <w:t xml:space="preserve"> </w:t>
      </w:r>
    </w:p>
    <w:p w14:paraId="4A39802A" w14:textId="2D7D325F" w:rsidR="002855B3" w:rsidRDefault="002855B3" w:rsidP="009026AB">
      <w:pPr>
        <w:spacing w:line="480" w:lineRule="auto"/>
        <w:ind w:left="720"/>
      </w:pPr>
      <w:r>
        <w:t xml:space="preserve">And 8.5% of dengue cases are assumed to have post-dengue chronic fatigue, with a disability weight of 0.219 and with a mean duration of 6 months. </w:t>
      </w:r>
    </w:p>
    <w:p w14:paraId="7E75BEC3" w14:textId="1AF6AFBD" w:rsidR="002855B3" w:rsidRDefault="002855B3" w:rsidP="009026AB">
      <w:pPr>
        <w:spacing w:line="480" w:lineRule="auto"/>
        <w:ind w:left="720"/>
      </w:pPr>
      <w:r>
        <w:tab/>
        <w:t xml:space="preserve">(Salomon et al, 2015 and </w:t>
      </w:r>
      <w:proofErr w:type="spellStart"/>
      <w:r>
        <w:t>Stanaway</w:t>
      </w:r>
      <w:proofErr w:type="spellEnd"/>
      <w:r>
        <w:t xml:space="preserve">, 2013, as cited in </w:t>
      </w:r>
      <w:proofErr w:type="spellStart"/>
      <w:r>
        <w:t>Manh</w:t>
      </w:r>
      <w:proofErr w:type="spellEnd"/>
      <w:r>
        <w:t xml:space="preserve"> Hung et al, 2018) </w:t>
      </w:r>
    </w:p>
    <w:p w14:paraId="21E979E2" w14:textId="14F59DA8" w:rsidR="002855B3" w:rsidRDefault="002855B3" w:rsidP="002855B3"/>
    <w:p w14:paraId="2DAE059B" w14:textId="6D0F66FE" w:rsidR="002855B3" w:rsidRDefault="002855B3" w:rsidP="009026AB">
      <w:pPr>
        <w:spacing w:line="480" w:lineRule="auto"/>
        <w:jc w:val="both"/>
      </w:pPr>
      <w:proofErr w:type="spellStart"/>
      <w:r>
        <w:t>Suwantika</w:t>
      </w:r>
      <w:proofErr w:type="spellEnd"/>
      <w:r>
        <w:t xml:space="preserve"> et al (202</w:t>
      </w:r>
      <w:r w:rsidR="009026AB">
        <w:t>1</w:t>
      </w:r>
      <w:r>
        <w:t>) estimate a total number of 277,289 averted cases of dengue</w:t>
      </w:r>
      <w:r w:rsidR="001A53F4">
        <w:t xml:space="preserve"> in their cohort of 4,710,100 children</w:t>
      </w:r>
      <w:r>
        <w:t xml:space="preserve">. Thus, the averted YLD for the proposed dengue vaccination in Indonesia can be calculated as follows: </w:t>
      </w:r>
    </w:p>
    <w:p w14:paraId="257E79E9" w14:textId="0017B2E5" w:rsidR="002855B3" w:rsidRDefault="002855B3" w:rsidP="002855B3"/>
    <w:p w14:paraId="1523D6AE" w14:textId="714C4AE9" w:rsidR="002855B3" w:rsidRPr="002855B3" w:rsidRDefault="002855B3" w:rsidP="002855B3">
      <m:oMathPara>
        <m:oMath>
          <m:r>
            <w:rPr>
              <w:rFonts w:ascii="Cambria Math" w:hAnsi="Cambria Math"/>
            </w:rPr>
            <m:t>YLD=l×DW×L</m:t>
          </m:r>
        </m:oMath>
      </m:oMathPara>
    </w:p>
    <w:p w14:paraId="2368E0CC" w14:textId="1D41D736" w:rsidR="002855B3" w:rsidRPr="002855B3" w:rsidRDefault="002855B3" w:rsidP="002855B3">
      <m:oMathPara>
        <m:oMath>
          <m:r>
            <w:rPr>
              <w:rFonts w:ascii="Cambria Math" w:hAnsi="Cambria Math"/>
            </w:rPr>
            <m:t>YLD=</m:t>
          </m:r>
          <m:d>
            <m:dPr>
              <m:ctrlPr>
                <w:rPr>
                  <w:rFonts w:ascii="Cambria Math" w:hAnsi="Cambria Math"/>
                  <w:i/>
                </w:rPr>
              </m:ctrlPr>
            </m:dPr>
            <m:e>
              <m:r>
                <w:rPr>
                  <w:rFonts w:ascii="Cambria Math" w:hAnsi="Cambria Math"/>
                </w:rPr>
                <m:t>.945</m:t>
              </m:r>
            </m:e>
          </m:d>
          <m:d>
            <m:dPr>
              <m:ctrlPr>
                <w:rPr>
                  <w:rFonts w:ascii="Cambria Math" w:hAnsi="Cambria Math"/>
                  <w:i/>
                </w:rPr>
              </m:ctrlPr>
            </m:dPr>
            <m:e>
              <m:r>
                <w:rPr>
                  <w:rFonts w:ascii="Cambria Math" w:hAnsi="Cambria Math"/>
                </w:rPr>
                <m:t>l</m:t>
              </m:r>
            </m:e>
          </m:d>
          <m:d>
            <m:dPr>
              <m:ctrlPr>
                <w:rPr>
                  <w:rFonts w:ascii="Cambria Math" w:hAnsi="Cambria Math"/>
                  <w:i/>
                </w:rPr>
              </m:ctrlPr>
            </m:dPr>
            <m:e>
              <m:r>
                <w:rPr>
                  <w:rFonts w:ascii="Cambria Math" w:hAnsi="Cambria Math"/>
                </w:rPr>
                <m:t>0.051</m:t>
              </m:r>
            </m:e>
          </m:d>
          <m:d>
            <m:dPr>
              <m:ctrlPr>
                <w:rPr>
                  <w:rFonts w:ascii="Cambria Math" w:hAnsi="Cambria Math"/>
                  <w:i/>
                </w:rPr>
              </m:ctrlPr>
            </m:dPr>
            <m:e>
              <m:f>
                <m:fPr>
                  <m:ctrlPr>
                    <w:rPr>
                      <w:rFonts w:ascii="Cambria Math" w:hAnsi="Cambria Math"/>
                      <w:i/>
                    </w:rPr>
                  </m:ctrlPr>
                </m:fPr>
                <m:num>
                  <m:r>
                    <w:rPr>
                      <w:rFonts w:ascii="Cambria Math" w:hAnsi="Cambria Math"/>
                    </w:rPr>
                    <m:t>6</m:t>
                  </m:r>
                </m:num>
                <m:den>
                  <m:r>
                    <w:rPr>
                      <w:rFonts w:ascii="Cambria Math" w:hAnsi="Cambria Math"/>
                    </w:rPr>
                    <m:t>365</m:t>
                  </m:r>
                </m:den>
              </m:f>
            </m:e>
          </m:d>
          <m:r>
            <w:rPr>
              <w:rFonts w:ascii="Cambria Math" w:hAnsi="Cambria Math"/>
            </w:rPr>
            <m:t>+</m:t>
          </m:r>
          <m:d>
            <m:dPr>
              <m:ctrlPr>
                <w:rPr>
                  <w:rFonts w:ascii="Cambria Math" w:hAnsi="Cambria Math"/>
                  <w:i/>
                </w:rPr>
              </m:ctrlPr>
            </m:dPr>
            <m:e>
              <m:r>
                <w:rPr>
                  <w:rFonts w:ascii="Cambria Math" w:hAnsi="Cambria Math"/>
                </w:rPr>
                <m:t>0.055</m:t>
              </m:r>
            </m:e>
          </m:d>
          <m:d>
            <m:dPr>
              <m:ctrlPr>
                <w:rPr>
                  <w:rFonts w:ascii="Cambria Math" w:hAnsi="Cambria Math"/>
                  <w:i/>
                </w:rPr>
              </m:ctrlPr>
            </m:dPr>
            <m:e>
              <m:r>
                <w:rPr>
                  <w:rFonts w:ascii="Cambria Math" w:hAnsi="Cambria Math"/>
                </w:rPr>
                <m:t>l</m:t>
              </m:r>
            </m:e>
          </m:d>
          <m:d>
            <m:dPr>
              <m:ctrlPr>
                <w:rPr>
                  <w:rFonts w:ascii="Cambria Math" w:hAnsi="Cambria Math"/>
                  <w:i/>
                </w:rPr>
              </m:ctrlPr>
            </m:dPr>
            <m:e>
              <m:r>
                <w:rPr>
                  <w:rFonts w:ascii="Cambria Math" w:hAnsi="Cambria Math"/>
                </w:rPr>
                <m:t>0.133</m:t>
              </m:r>
            </m:e>
          </m:d>
          <m:d>
            <m:dPr>
              <m:ctrlPr>
                <w:rPr>
                  <w:rFonts w:ascii="Cambria Math" w:hAnsi="Cambria Math"/>
                  <w:i/>
                </w:rPr>
              </m:ctrlPr>
            </m:dPr>
            <m:e>
              <m:f>
                <m:fPr>
                  <m:ctrlPr>
                    <w:rPr>
                      <w:rFonts w:ascii="Cambria Math" w:hAnsi="Cambria Math"/>
                      <w:i/>
                    </w:rPr>
                  </m:ctrlPr>
                </m:fPr>
                <m:num>
                  <m:r>
                    <w:rPr>
                      <w:rFonts w:ascii="Cambria Math" w:hAnsi="Cambria Math"/>
                    </w:rPr>
                    <m:t>14</m:t>
                  </m:r>
                </m:num>
                <m:den>
                  <m:r>
                    <w:rPr>
                      <w:rFonts w:ascii="Cambria Math" w:hAnsi="Cambria Math"/>
                    </w:rPr>
                    <m:t>365</m:t>
                  </m:r>
                </m:den>
              </m:f>
            </m:e>
          </m:d>
          <m:r>
            <w:rPr>
              <w:rFonts w:ascii="Cambria Math" w:hAnsi="Cambria Math"/>
            </w:rPr>
            <m:t>+</m:t>
          </m:r>
          <m:d>
            <m:dPr>
              <m:ctrlPr>
                <w:rPr>
                  <w:rFonts w:ascii="Cambria Math" w:hAnsi="Cambria Math"/>
                  <w:i/>
                </w:rPr>
              </m:ctrlPr>
            </m:dPr>
            <m:e>
              <m:r>
                <w:rPr>
                  <w:rFonts w:ascii="Cambria Math" w:hAnsi="Cambria Math"/>
                </w:rPr>
                <m:t>0.085</m:t>
              </m:r>
            </m:e>
          </m:d>
          <m:d>
            <m:dPr>
              <m:ctrlPr>
                <w:rPr>
                  <w:rFonts w:ascii="Cambria Math" w:hAnsi="Cambria Math"/>
                  <w:i/>
                </w:rPr>
              </m:ctrlPr>
            </m:dPr>
            <m:e>
              <m:r>
                <w:rPr>
                  <w:rFonts w:ascii="Cambria Math" w:hAnsi="Cambria Math"/>
                </w:rPr>
                <m:t>l-</m:t>
              </m:r>
              <m:r>
                <m:rPr>
                  <m:sty m:val="p"/>
                </m:rPr>
                <w:rPr>
                  <w:rFonts w:ascii="Cambria Math" w:hAnsi="Cambria Math"/>
                </w:rPr>
                <m:t>deaths</m:t>
              </m:r>
            </m:e>
          </m:d>
          <m:d>
            <m:dPr>
              <m:ctrlPr>
                <w:rPr>
                  <w:rFonts w:ascii="Cambria Math" w:hAnsi="Cambria Math"/>
                  <w:i/>
                </w:rPr>
              </m:ctrlPr>
            </m:dPr>
            <m:e>
              <m:r>
                <w:rPr>
                  <w:rFonts w:ascii="Cambria Math" w:hAnsi="Cambria Math"/>
                </w:rPr>
                <m:t>0.219</m:t>
              </m:r>
            </m:e>
          </m:d>
          <m:r>
            <w:rPr>
              <w:rFonts w:ascii="Cambria Math" w:hAnsi="Cambria Math"/>
            </w:rPr>
            <m:t>.5</m:t>
          </m:r>
        </m:oMath>
      </m:oMathPara>
    </w:p>
    <w:p w14:paraId="01EA045E" w14:textId="593FEF69" w:rsidR="002855B3" w:rsidRPr="002855B3" w:rsidRDefault="002855B3" w:rsidP="002855B3">
      <m:oMathPara>
        <m:oMath>
          <m:r>
            <w:rPr>
              <w:rFonts w:ascii="Cambria Math" w:hAnsi="Cambria Math"/>
            </w:rPr>
            <m:t>YLD=219.68+77.80+2,559.62</m:t>
          </m:r>
        </m:oMath>
      </m:oMathPara>
    </w:p>
    <w:p w14:paraId="04D07234" w14:textId="7D1ED22F" w:rsidR="002855B3" w:rsidRPr="002855B3" w:rsidRDefault="002855B3" w:rsidP="002855B3">
      <m:oMathPara>
        <m:oMath>
          <m:r>
            <w:rPr>
              <w:rFonts w:ascii="Cambria Math" w:hAnsi="Cambria Math"/>
            </w:rPr>
            <m:t>YLD=2,857.09</m:t>
          </m:r>
        </m:oMath>
      </m:oMathPara>
    </w:p>
    <w:p w14:paraId="50D779C3" w14:textId="77777777" w:rsidR="002855B3" w:rsidRDefault="002855B3" w:rsidP="002855B3"/>
    <w:p w14:paraId="19507729" w14:textId="4B02BC72" w:rsidR="002855B3" w:rsidRDefault="002855B3" w:rsidP="009026AB">
      <w:pPr>
        <w:spacing w:line="480" w:lineRule="auto"/>
        <w:jc w:val="both"/>
      </w:pPr>
      <w:r>
        <w:lastRenderedPageBreak/>
        <w:t>This makes the total DALYs averted with dengue vaccination in Indonesia = 135,190 + 2,857 = 138,047</w:t>
      </w:r>
      <w:r w:rsidR="001A53F4">
        <w:t xml:space="preserve"> over the course of a 4-year implementation.</w:t>
      </w:r>
      <w:r w:rsidR="0018077F">
        <w:t xml:space="preserve"> </w:t>
      </w:r>
    </w:p>
    <w:p w14:paraId="6C336AC9" w14:textId="0B94856D" w:rsidR="002855B3" w:rsidRDefault="002855B3" w:rsidP="002855B3"/>
    <w:p w14:paraId="08BB6960" w14:textId="6A2AF510" w:rsidR="0018077F" w:rsidRDefault="0018077F" w:rsidP="009026AB">
      <w:pPr>
        <w:spacing w:line="480" w:lineRule="auto"/>
        <w:jc w:val="both"/>
      </w:pPr>
      <w:r w:rsidRPr="002855B3">
        <w:rPr>
          <w:b/>
          <w:bCs/>
        </w:rPr>
        <w:t>C</w:t>
      </w:r>
      <w:r>
        <w:rPr>
          <w:b/>
          <w:bCs/>
        </w:rPr>
        <w:t>alculating</w:t>
      </w:r>
      <w:r w:rsidRPr="002855B3">
        <w:rPr>
          <w:b/>
          <w:bCs/>
        </w:rPr>
        <w:t xml:space="preserve"> DALYs</w:t>
      </w:r>
      <w:r>
        <w:rPr>
          <w:b/>
          <w:bCs/>
        </w:rPr>
        <w:t xml:space="preserve"> for population of interest from Brady et al, 2020</w:t>
      </w:r>
      <w:r>
        <w:t xml:space="preserve">: </w:t>
      </w:r>
    </w:p>
    <w:p w14:paraId="05F7B767" w14:textId="188F0351" w:rsidR="00D73CDC" w:rsidRPr="00D73CDC" w:rsidRDefault="0018077F" w:rsidP="009026AB">
      <w:pPr>
        <w:spacing w:line="480" w:lineRule="auto"/>
        <w:jc w:val="both"/>
      </w:pPr>
      <w:r>
        <w:tab/>
      </w:r>
      <w:r w:rsidR="009026AB">
        <w:t>For the</w:t>
      </w:r>
      <w:r>
        <w:t xml:space="preserve"> </w:t>
      </w:r>
      <w:proofErr w:type="spellStart"/>
      <w:r w:rsidR="00287C10">
        <w:rPr>
          <w:i/>
          <w:iCs/>
        </w:rPr>
        <w:t>wMel</w:t>
      </w:r>
      <w:proofErr w:type="spellEnd"/>
      <w:r w:rsidR="00287C10">
        <w:rPr>
          <w:i/>
          <w:iCs/>
        </w:rPr>
        <w:t xml:space="preserve"> W</w:t>
      </w:r>
      <w:r w:rsidR="00287C10" w:rsidRPr="00287C10">
        <w:rPr>
          <w:i/>
          <w:iCs/>
        </w:rPr>
        <w:t>olbachia</w:t>
      </w:r>
      <w:r w:rsidR="00287C10">
        <w:t xml:space="preserve"> </w:t>
      </w:r>
      <w:r>
        <w:t xml:space="preserve">-replacement program in Indonesia, Brady et al (2020) reported outcome measures for the implementation populations in terms of DALYs. </w:t>
      </w:r>
      <w:r w:rsidR="001A53F4">
        <w:t xml:space="preserve">Averted DALYs from the accelerated program, which completes rollout in 3 years, was </w:t>
      </w:r>
      <w:r w:rsidR="009026AB">
        <w:t>chosen over the 10-year sequenced introduction</w:t>
      </w:r>
      <w:r w:rsidR="001A53F4">
        <w:t xml:space="preserve"> to keep implementation periods as similar as possible between the two </w:t>
      </w:r>
      <w:r w:rsidR="009026AB">
        <w:t>interventions</w:t>
      </w:r>
      <w:r w:rsidR="001A53F4">
        <w:t xml:space="preserve">. In their study, Brady et al (2020) estimate the cost-effectiveness of their proposed implementation in Jakarta at a gross $1566 per DALY averted using an accelerated implementation and </w:t>
      </w:r>
      <w:r w:rsidR="00A91D45">
        <w:t>estimate</w:t>
      </w:r>
      <w:r w:rsidR="001A53F4">
        <w:t xml:space="preserve"> total cost of $133.3 million USD. Thus, Brady et al (2020) estimate a total number of 85,121.33 DALYs averted for accelerated </w:t>
      </w:r>
      <w:proofErr w:type="spellStart"/>
      <w:r w:rsidR="00287C10">
        <w:rPr>
          <w:i/>
          <w:iCs/>
        </w:rPr>
        <w:t>wMel</w:t>
      </w:r>
      <w:proofErr w:type="spellEnd"/>
      <w:r w:rsidR="00287C10">
        <w:rPr>
          <w:i/>
          <w:iCs/>
        </w:rPr>
        <w:t xml:space="preserve"> W</w:t>
      </w:r>
      <w:r w:rsidR="00287C10" w:rsidRPr="00287C10">
        <w:rPr>
          <w:i/>
          <w:iCs/>
        </w:rPr>
        <w:t>olbachia</w:t>
      </w:r>
      <w:r w:rsidR="001A53F4">
        <w:t xml:space="preserve"> implementation in Jakarta</w:t>
      </w:r>
      <w:r w:rsidR="00454166">
        <w:t>, Indonesia</w:t>
      </w:r>
      <w:r w:rsidR="001A53F4">
        <w:t>.</w:t>
      </w:r>
    </w:p>
    <w:p w14:paraId="3B92C5CF" w14:textId="77777777" w:rsidR="0018077F" w:rsidRDefault="0018077F" w:rsidP="002855B3">
      <w:pPr>
        <w:rPr>
          <w:b/>
          <w:bCs/>
        </w:rPr>
      </w:pPr>
    </w:p>
    <w:p w14:paraId="5BCF695B" w14:textId="491EBF04" w:rsidR="002855B3" w:rsidRDefault="002855B3" w:rsidP="009026AB">
      <w:pPr>
        <w:spacing w:line="480" w:lineRule="auto"/>
        <w:jc w:val="both"/>
        <w:rPr>
          <w:b/>
          <w:bCs/>
        </w:rPr>
      </w:pPr>
      <w:r w:rsidRPr="002855B3">
        <w:rPr>
          <w:b/>
          <w:bCs/>
        </w:rPr>
        <w:t>Adjusting Outcome Measures</w:t>
      </w:r>
      <w:r>
        <w:rPr>
          <w:b/>
          <w:bCs/>
        </w:rPr>
        <w:t xml:space="preserve">: </w:t>
      </w:r>
    </w:p>
    <w:p w14:paraId="2FB92883" w14:textId="2F184854" w:rsidR="003557D2" w:rsidRDefault="0018077F" w:rsidP="009026AB">
      <w:pPr>
        <w:spacing w:line="480" w:lineRule="auto"/>
        <w:jc w:val="both"/>
      </w:pPr>
      <w:r>
        <w:tab/>
        <w:t>Though Dengue prevalence in the 10-14 age group</w:t>
      </w:r>
      <w:r w:rsidR="00454166">
        <w:t xml:space="preserve"> is </w:t>
      </w:r>
      <w:r>
        <w:t>higher in Thailand compared to Indonesia</w:t>
      </w:r>
      <w:r w:rsidR="00454166">
        <w:t xml:space="preserve"> per 100,000 (</w:t>
      </w:r>
      <w:r w:rsidR="00454166" w:rsidRPr="00454166">
        <w:rPr>
          <w:b/>
          <w:bCs/>
        </w:rPr>
        <w:t>Table 1</w:t>
      </w:r>
      <w:r w:rsidR="00454166">
        <w:t>)</w:t>
      </w:r>
      <w:r>
        <w:t xml:space="preserve">, </w:t>
      </w:r>
      <w:proofErr w:type="spellStart"/>
      <w:r>
        <w:t>Suwantika</w:t>
      </w:r>
      <w:proofErr w:type="spellEnd"/>
      <w:r>
        <w:t xml:space="preserve"> et al (202</w:t>
      </w:r>
      <w:r w:rsidR="009026AB">
        <w:t>1</w:t>
      </w:r>
      <w:r>
        <w:t>) uses a population of children ages 9-16 instead of the ages 10-14 used in this study, and therefore, no adjustments based on disease prevalence will be made</w:t>
      </w:r>
      <w:r w:rsidR="00D73CDC">
        <w:t xml:space="preserve"> for the</w:t>
      </w:r>
      <w:r w:rsidR="00A91D45">
        <w:t xml:space="preserve"> </w:t>
      </w:r>
      <w:r w:rsidR="00D73CDC">
        <w:t>vaccination implementation</w:t>
      </w:r>
      <w:r>
        <w:t xml:space="preserve"> as it is expected that the overestimation of DALYs from </w:t>
      </w:r>
      <w:r w:rsidR="00454166">
        <w:t xml:space="preserve">the expanded age group in </w:t>
      </w:r>
      <w:proofErr w:type="spellStart"/>
      <w:r w:rsidR="00454166">
        <w:t>Suwantika</w:t>
      </w:r>
      <w:proofErr w:type="spellEnd"/>
      <w:r w:rsidR="00454166">
        <w:t xml:space="preserve"> et al (2021)</w:t>
      </w:r>
      <w:r>
        <w:t xml:space="preserve"> is roughly equivalent to the underestimation of prevalence</w:t>
      </w:r>
      <w:r w:rsidR="009026AB">
        <w:t xml:space="preserve"> in Indonesia compared to Thailand</w:t>
      </w:r>
      <w:r>
        <w:t>.</w:t>
      </w:r>
      <w:r w:rsidR="00D73CDC">
        <w:t xml:space="preserve"> </w:t>
      </w:r>
      <w:r w:rsidR="003557D2">
        <w:t>Since the implementation populations for dengue vaccination in Indonesia and Thailand have equal populations, there will be no adjustment based on population size, however, the</w:t>
      </w:r>
      <w:r w:rsidR="00D73CDC">
        <w:t xml:space="preserve"> life expectancy (as reported in 2019) and healthy life expectancy (as reported in 2016) in Thailand are both greater </w:t>
      </w:r>
      <w:r w:rsidR="00D73CDC">
        <w:lastRenderedPageBreak/>
        <w:t>than that of Indonesia (77.15 and 66.80, compared to 71.716 and 61.70, respectively), which would increase the expected number of DALYs averted in Thailand</w:t>
      </w:r>
      <w:r w:rsidR="006476BB">
        <w:t xml:space="preserve"> (World Bank, 2019; </w:t>
      </w:r>
      <w:proofErr w:type="spellStart"/>
      <w:r w:rsidR="006476BB">
        <w:t>Knoema</w:t>
      </w:r>
      <w:proofErr w:type="spellEnd"/>
      <w:r w:rsidR="006476BB">
        <w:t>, 2016)</w:t>
      </w:r>
      <w:r w:rsidR="00D73CDC">
        <w:t xml:space="preserve">. </w:t>
      </w:r>
      <w:r w:rsidR="003557D2">
        <w:t>Specifically, this would increase the YLL averted with dengue vaccination in Thailand to 149,737.45 years</w:t>
      </w:r>
      <w:r w:rsidR="009026AB">
        <w:t xml:space="preserve"> from Indonesia’s 135,190 years</w:t>
      </w:r>
      <w:r w:rsidR="003557D2">
        <w:t xml:space="preserve">. The longer lifespan of individuals in Thailand would also impact the </w:t>
      </w:r>
      <w:proofErr w:type="spellStart"/>
      <w:r w:rsidR="00287C10">
        <w:rPr>
          <w:i/>
          <w:iCs/>
        </w:rPr>
        <w:t>wMel</w:t>
      </w:r>
      <w:proofErr w:type="spellEnd"/>
      <w:r w:rsidR="00287C10">
        <w:rPr>
          <w:i/>
          <w:iCs/>
        </w:rPr>
        <w:t xml:space="preserve"> W</w:t>
      </w:r>
      <w:r w:rsidR="00287C10" w:rsidRPr="00287C10">
        <w:rPr>
          <w:i/>
          <w:iCs/>
        </w:rPr>
        <w:t>olbachia</w:t>
      </w:r>
      <w:r w:rsidR="00287C10">
        <w:t xml:space="preserve"> </w:t>
      </w:r>
      <w:r w:rsidR="003557D2">
        <w:t xml:space="preserve">implementation. Considering the populations living in Bangkok and Jakarta are approximately the same, the DALYs averted by the </w:t>
      </w:r>
      <w:proofErr w:type="spellStart"/>
      <w:r w:rsidR="00287C10">
        <w:rPr>
          <w:i/>
          <w:iCs/>
        </w:rPr>
        <w:t>wMel</w:t>
      </w:r>
      <w:proofErr w:type="spellEnd"/>
      <w:r w:rsidR="00287C10">
        <w:rPr>
          <w:i/>
          <w:iCs/>
        </w:rPr>
        <w:t xml:space="preserve"> W</w:t>
      </w:r>
      <w:r w:rsidR="00287C10" w:rsidRPr="00287C10">
        <w:rPr>
          <w:i/>
          <w:iCs/>
        </w:rPr>
        <w:t>olbachia</w:t>
      </w:r>
      <w:r w:rsidR="003557D2">
        <w:t xml:space="preserve"> program will be adjusted by a </w:t>
      </w:r>
      <w:r w:rsidR="009026AB">
        <w:t>factor</w:t>
      </w:r>
      <w:r w:rsidR="003557D2">
        <w:t xml:space="preserve"> of </w:t>
      </w:r>
      <w:r w:rsidR="00A91D45">
        <w:t xml:space="preserve">8% </w:t>
      </w:r>
      <w:r w:rsidR="003557D2">
        <w:t xml:space="preserve">to accommodate the longer lifespan of Thailand’s population. </w:t>
      </w:r>
    </w:p>
    <w:p w14:paraId="1AB0661F" w14:textId="7996F3EA" w:rsidR="006D2E61" w:rsidRDefault="003557D2" w:rsidP="006D2E61">
      <w:pPr>
        <w:spacing w:line="480" w:lineRule="auto"/>
        <w:ind w:firstLine="720"/>
        <w:jc w:val="both"/>
      </w:pPr>
      <w:r>
        <w:t xml:space="preserve">In addition to the individual program adjustments mentioned, </w:t>
      </w:r>
      <w:r w:rsidR="009026AB">
        <w:t>changes</w:t>
      </w:r>
      <w:r>
        <w:t xml:space="preserve"> must also be made based on Thailand’s healthcare system</w:t>
      </w:r>
      <w:r w:rsidR="00CD05D3">
        <w:t xml:space="preserve"> and current estimates of DALYs lost to dengue per 100,000</w:t>
      </w:r>
      <w:r>
        <w:t xml:space="preserve">. </w:t>
      </w:r>
      <w:r w:rsidR="00FD5034">
        <w:t>Thailand has a much better HAQ index score than I</w:t>
      </w:r>
      <w:r w:rsidR="00D73CDC">
        <w:t xml:space="preserve">ndonesia </w:t>
      </w:r>
      <w:r w:rsidR="00FD5034">
        <w:t>(69.5 and 44.5, respectively</w:t>
      </w:r>
      <w:r w:rsidR="00D73CDC">
        <w:t>),</w:t>
      </w:r>
      <w:r>
        <w:t xml:space="preserve"> </w:t>
      </w:r>
      <w:r w:rsidRPr="003557D2">
        <w:t>according to the 2016 IHME GBD study (</w:t>
      </w:r>
      <w:proofErr w:type="spellStart"/>
      <w:r w:rsidRPr="003557D2">
        <w:t>Fullman</w:t>
      </w:r>
      <w:proofErr w:type="spellEnd"/>
      <w:r w:rsidRPr="003557D2">
        <w:t xml:space="preserve"> et al, 2018). Thailand scored higher than the HAQ global average (54.4) and the HAQ average (47.5) for Southeast Asia, while Indonesia scored lower than both baselines.</w:t>
      </w:r>
      <w:r>
        <w:t xml:space="preserve"> </w:t>
      </w:r>
      <w:r w:rsidR="00CD05D3">
        <w:t xml:space="preserve">Additionally, Thailand has </w:t>
      </w:r>
      <w:r w:rsidR="00454166">
        <w:t xml:space="preserve">about 9 times </w:t>
      </w:r>
      <w:r w:rsidR="00CD05D3">
        <w:t xml:space="preserve">fewer DALYs attributable to dengue per 100,000 than Indonesia (27.07 and 249.55, respectively). </w:t>
      </w:r>
      <w:r w:rsidR="00454166">
        <w:t xml:space="preserve">While some of the increased DALYs per 100,000 in Indonesia can be explained by the </w:t>
      </w:r>
      <w:r w:rsidR="00A91D45">
        <w:t xml:space="preserve">overall </w:t>
      </w:r>
      <w:r w:rsidR="00454166">
        <w:t>higher prevalence of dengue per 100,000 in Indonesia, some of this can also be attributed to Thailand’s superior healthcare system. This means any implementation in Thailand is likely to have greater health system support and capacity compared to an implementation in Indonesia and therefore more DALYs are expected to be averted in Thailand compared to interventions in Indonesia.</w:t>
      </w:r>
      <w:r w:rsidR="00D73CDC">
        <w:t xml:space="preserve"> For these reasons, the number of DALYs averted will b</w:t>
      </w:r>
      <w:r w:rsidR="00D94E6F">
        <w:t>e</w:t>
      </w:r>
      <w:r w:rsidR="00D73CDC">
        <w:t xml:space="preserve"> </w:t>
      </w:r>
      <w:r>
        <w:t xml:space="preserve">further increased for both implementations in </w:t>
      </w:r>
      <w:r w:rsidRPr="00454166">
        <w:t>Thailand by</w:t>
      </w:r>
      <w:r w:rsidR="00454166" w:rsidRPr="00454166">
        <w:t xml:space="preserve"> 20%.</w:t>
      </w:r>
      <w:r w:rsidR="00454166">
        <w:t xml:space="preserve"> </w:t>
      </w:r>
    </w:p>
    <w:p w14:paraId="425F4F5F" w14:textId="77777777" w:rsidR="002D6D9E" w:rsidRDefault="002D6D9E" w:rsidP="00003273">
      <w:pPr>
        <w:spacing w:line="480" w:lineRule="auto"/>
        <w:jc w:val="both"/>
      </w:pPr>
    </w:p>
    <w:p w14:paraId="573724A8" w14:textId="422E8E76" w:rsidR="00D73CDC" w:rsidRDefault="00425D4B" w:rsidP="002855B3">
      <w:r>
        <w:rPr>
          <w:b/>
          <w:bCs/>
        </w:rPr>
        <w:lastRenderedPageBreak/>
        <w:t xml:space="preserve">Table </w:t>
      </w:r>
      <w:r w:rsidR="00A91D45">
        <w:rPr>
          <w:b/>
          <w:bCs/>
        </w:rPr>
        <w:t>9</w:t>
      </w:r>
      <w:r w:rsidR="003557D2">
        <w:t xml:space="preserve">: </w:t>
      </w:r>
      <w:r w:rsidR="003557D2" w:rsidRPr="00A91D45">
        <w:rPr>
          <w:b/>
          <w:bCs/>
        </w:rPr>
        <w:t>DALYs Averted by each program in Thailand and Indonesia</w:t>
      </w:r>
      <w:r w:rsidR="003557D2">
        <w:t xml:space="preserve"> </w:t>
      </w:r>
    </w:p>
    <w:tbl>
      <w:tblPr>
        <w:tblStyle w:val="TableGrid"/>
        <w:tblW w:w="0" w:type="auto"/>
        <w:tblLook w:val="04A0" w:firstRow="1" w:lastRow="0" w:firstColumn="1" w:lastColumn="0" w:noHBand="0" w:noVBand="1"/>
      </w:tblPr>
      <w:tblGrid>
        <w:gridCol w:w="1870"/>
        <w:gridCol w:w="1870"/>
        <w:gridCol w:w="1870"/>
        <w:gridCol w:w="1870"/>
        <w:gridCol w:w="1870"/>
      </w:tblGrid>
      <w:tr w:rsidR="003557D2" w14:paraId="335E2232" w14:textId="77777777" w:rsidTr="009026AB">
        <w:tc>
          <w:tcPr>
            <w:tcW w:w="1870" w:type="dxa"/>
            <w:tcBorders>
              <w:bottom w:val="single" w:sz="18" w:space="0" w:color="auto"/>
            </w:tcBorders>
          </w:tcPr>
          <w:p w14:paraId="183488A1" w14:textId="77777777" w:rsidR="003557D2" w:rsidRPr="009026AB" w:rsidRDefault="003557D2" w:rsidP="002617A1">
            <w:pPr>
              <w:rPr>
                <w:b/>
                <w:bCs/>
              </w:rPr>
            </w:pPr>
          </w:p>
        </w:tc>
        <w:tc>
          <w:tcPr>
            <w:tcW w:w="1870" w:type="dxa"/>
            <w:tcBorders>
              <w:bottom w:val="single" w:sz="18" w:space="0" w:color="auto"/>
            </w:tcBorders>
          </w:tcPr>
          <w:p w14:paraId="326A445B" w14:textId="794F581A" w:rsidR="003557D2" w:rsidRPr="009026AB" w:rsidRDefault="00287C10" w:rsidP="002617A1">
            <w:pPr>
              <w:rPr>
                <w:b/>
                <w:bCs/>
              </w:rPr>
            </w:pPr>
            <w:proofErr w:type="spellStart"/>
            <w:r w:rsidRPr="009026AB">
              <w:rPr>
                <w:b/>
                <w:bCs/>
                <w:i/>
                <w:iCs/>
              </w:rPr>
              <w:t>wMel</w:t>
            </w:r>
            <w:proofErr w:type="spellEnd"/>
            <w:r w:rsidRPr="009026AB">
              <w:rPr>
                <w:b/>
                <w:bCs/>
                <w:i/>
                <w:iCs/>
              </w:rPr>
              <w:t xml:space="preserve"> Wolbachia</w:t>
            </w:r>
            <w:r w:rsidRPr="009026AB">
              <w:rPr>
                <w:b/>
                <w:bCs/>
              </w:rPr>
              <w:t xml:space="preserve"> </w:t>
            </w:r>
            <w:r w:rsidR="003557D2" w:rsidRPr="009026AB">
              <w:rPr>
                <w:b/>
                <w:bCs/>
              </w:rPr>
              <w:t xml:space="preserve">Control, </w:t>
            </w:r>
          </w:p>
          <w:p w14:paraId="31CD35EB" w14:textId="77777777" w:rsidR="003557D2" w:rsidRPr="009026AB" w:rsidRDefault="003557D2" w:rsidP="002617A1">
            <w:pPr>
              <w:rPr>
                <w:b/>
                <w:bCs/>
              </w:rPr>
            </w:pPr>
            <w:r w:rsidRPr="009026AB">
              <w:rPr>
                <w:b/>
                <w:bCs/>
              </w:rPr>
              <w:t>Thailand</w:t>
            </w:r>
          </w:p>
        </w:tc>
        <w:tc>
          <w:tcPr>
            <w:tcW w:w="1870" w:type="dxa"/>
            <w:tcBorders>
              <w:bottom w:val="single" w:sz="18" w:space="0" w:color="auto"/>
            </w:tcBorders>
          </w:tcPr>
          <w:p w14:paraId="289A5090" w14:textId="77777777" w:rsidR="003557D2" w:rsidRPr="009026AB" w:rsidRDefault="003557D2" w:rsidP="002617A1">
            <w:pPr>
              <w:rPr>
                <w:b/>
                <w:bCs/>
              </w:rPr>
            </w:pPr>
            <w:r w:rsidRPr="009026AB">
              <w:rPr>
                <w:b/>
                <w:bCs/>
              </w:rPr>
              <w:t>Dengue Vaccination, Thailand</w:t>
            </w:r>
          </w:p>
        </w:tc>
        <w:tc>
          <w:tcPr>
            <w:tcW w:w="1870" w:type="dxa"/>
            <w:tcBorders>
              <w:bottom w:val="single" w:sz="18" w:space="0" w:color="auto"/>
            </w:tcBorders>
          </w:tcPr>
          <w:p w14:paraId="43117622" w14:textId="6ADED9D4" w:rsidR="003557D2" w:rsidRPr="009026AB" w:rsidRDefault="00287C10" w:rsidP="002617A1">
            <w:pPr>
              <w:rPr>
                <w:b/>
                <w:bCs/>
              </w:rPr>
            </w:pPr>
            <w:proofErr w:type="spellStart"/>
            <w:r w:rsidRPr="009026AB">
              <w:rPr>
                <w:b/>
                <w:bCs/>
                <w:i/>
                <w:iCs/>
              </w:rPr>
              <w:t>wMel</w:t>
            </w:r>
            <w:proofErr w:type="spellEnd"/>
            <w:r w:rsidRPr="009026AB">
              <w:rPr>
                <w:b/>
                <w:bCs/>
                <w:i/>
                <w:iCs/>
              </w:rPr>
              <w:t xml:space="preserve"> Wolbachia</w:t>
            </w:r>
            <w:r w:rsidRPr="009026AB">
              <w:rPr>
                <w:b/>
                <w:bCs/>
              </w:rPr>
              <w:t xml:space="preserve"> </w:t>
            </w:r>
            <w:r w:rsidR="003557D2" w:rsidRPr="009026AB">
              <w:rPr>
                <w:b/>
                <w:bCs/>
              </w:rPr>
              <w:t>Control, Indonesia</w:t>
            </w:r>
          </w:p>
        </w:tc>
        <w:tc>
          <w:tcPr>
            <w:tcW w:w="1870" w:type="dxa"/>
            <w:tcBorders>
              <w:bottom w:val="single" w:sz="18" w:space="0" w:color="auto"/>
            </w:tcBorders>
          </w:tcPr>
          <w:p w14:paraId="0FEDDDAE" w14:textId="77777777" w:rsidR="003557D2" w:rsidRPr="009026AB" w:rsidRDefault="003557D2" w:rsidP="002617A1">
            <w:pPr>
              <w:rPr>
                <w:b/>
                <w:bCs/>
              </w:rPr>
            </w:pPr>
            <w:r w:rsidRPr="009026AB">
              <w:rPr>
                <w:b/>
                <w:bCs/>
              </w:rPr>
              <w:t>Dengue Vaccination, Indonesia</w:t>
            </w:r>
          </w:p>
        </w:tc>
      </w:tr>
      <w:tr w:rsidR="003557D2" w14:paraId="4436F696" w14:textId="77777777" w:rsidTr="009026AB">
        <w:tc>
          <w:tcPr>
            <w:tcW w:w="1870" w:type="dxa"/>
            <w:tcBorders>
              <w:top w:val="single" w:sz="18" w:space="0" w:color="auto"/>
            </w:tcBorders>
          </w:tcPr>
          <w:p w14:paraId="3D52A4AB" w14:textId="510A2A9C" w:rsidR="003557D2" w:rsidRDefault="003557D2" w:rsidP="002617A1">
            <w:r>
              <w:t>DALYs averted</w:t>
            </w:r>
          </w:p>
        </w:tc>
        <w:tc>
          <w:tcPr>
            <w:tcW w:w="1870" w:type="dxa"/>
            <w:tcBorders>
              <w:top w:val="single" w:sz="18" w:space="0" w:color="auto"/>
            </w:tcBorders>
          </w:tcPr>
          <w:p w14:paraId="2683F90F" w14:textId="3B266558" w:rsidR="003557D2" w:rsidRPr="00454166" w:rsidRDefault="003557D2" w:rsidP="002617A1">
            <w:pPr>
              <w:rPr>
                <w:b/>
                <w:bCs/>
              </w:rPr>
            </w:pPr>
            <w:r w:rsidRPr="00454166">
              <w:rPr>
                <w:b/>
                <w:bCs/>
              </w:rPr>
              <w:t>1</w:t>
            </w:r>
            <w:r w:rsidR="00454166" w:rsidRPr="00454166">
              <w:rPr>
                <w:b/>
                <w:bCs/>
              </w:rPr>
              <w:t>10,317.89</w:t>
            </w:r>
          </w:p>
        </w:tc>
        <w:tc>
          <w:tcPr>
            <w:tcW w:w="1870" w:type="dxa"/>
            <w:tcBorders>
              <w:top w:val="single" w:sz="18" w:space="0" w:color="auto"/>
            </w:tcBorders>
          </w:tcPr>
          <w:p w14:paraId="2FF66C1F" w14:textId="6C6C4517" w:rsidR="003557D2" w:rsidRPr="00454166" w:rsidRDefault="00454166" w:rsidP="002617A1">
            <w:pPr>
              <w:rPr>
                <w:b/>
                <w:bCs/>
              </w:rPr>
            </w:pPr>
            <w:r w:rsidRPr="00454166">
              <w:rPr>
                <w:b/>
                <w:bCs/>
              </w:rPr>
              <w:t>183,113.34</w:t>
            </w:r>
          </w:p>
        </w:tc>
        <w:tc>
          <w:tcPr>
            <w:tcW w:w="1870" w:type="dxa"/>
            <w:tcBorders>
              <w:top w:val="single" w:sz="18" w:space="0" w:color="auto"/>
            </w:tcBorders>
          </w:tcPr>
          <w:p w14:paraId="1B9EB988" w14:textId="3DD7DE9C" w:rsidR="003557D2" w:rsidRDefault="003557D2" w:rsidP="002617A1">
            <w:r>
              <w:t>85,121.83</w:t>
            </w:r>
          </w:p>
        </w:tc>
        <w:tc>
          <w:tcPr>
            <w:tcW w:w="1870" w:type="dxa"/>
            <w:tcBorders>
              <w:top w:val="single" w:sz="18" w:space="0" w:color="auto"/>
            </w:tcBorders>
          </w:tcPr>
          <w:p w14:paraId="334048D6" w14:textId="543C1030" w:rsidR="003557D2" w:rsidRDefault="003557D2" w:rsidP="002617A1">
            <w:r>
              <w:t>138,047</w:t>
            </w:r>
          </w:p>
        </w:tc>
      </w:tr>
    </w:tbl>
    <w:p w14:paraId="2CD613D5" w14:textId="77777777" w:rsidR="003557D2" w:rsidRDefault="003557D2" w:rsidP="002855B3"/>
    <w:p w14:paraId="57831E13" w14:textId="438C5F13" w:rsidR="002855B3" w:rsidRDefault="00D73CDC" w:rsidP="009026AB">
      <w:pPr>
        <w:spacing w:line="480" w:lineRule="auto"/>
        <w:jc w:val="both"/>
        <w:rPr>
          <w:b/>
          <w:bCs/>
        </w:rPr>
      </w:pPr>
      <w:r w:rsidRPr="00D73CDC">
        <w:rPr>
          <w:b/>
          <w:bCs/>
        </w:rPr>
        <w:t xml:space="preserve">Calculation of Cost Effectiveness:  </w:t>
      </w:r>
    </w:p>
    <w:p w14:paraId="4A017213" w14:textId="65B3527A" w:rsidR="00D73CDC" w:rsidRDefault="00D73CDC" w:rsidP="009026AB">
      <w:pPr>
        <w:spacing w:line="480" w:lineRule="auto"/>
        <w:jc w:val="both"/>
      </w:pPr>
      <w:r>
        <w:tab/>
        <w:t xml:space="preserve">To evaluate whether resources are best allocated to dengue vaccination or a </w:t>
      </w:r>
      <w:proofErr w:type="spellStart"/>
      <w:r w:rsidR="00287C10">
        <w:rPr>
          <w:i/>
          <w:iCs/>
        </w:rPr>
        <w:t>wMel</w:t>
      </w:r>
      <w:proofErr w:type="spellEnd"/>
      <w:r w:rsidR="00287C10">
        <w:rPr>
          <w:i/>
          <w:iCs/>
        </w:rPr>
        <w:t xml:space="preserve"> W</w:t>
      </w:r>
      <w:r w:rsidR="00287C10" w:rsidRPr="00287C10">
        <w:rPr>
          <w:i/>
          <w:iCs/>
        </w:rPr>
        <w:t>olbachia</w:t>
      </w:r>
      <w:r w:rsidR="00287C10">
        <w:t xml:space="preserve"> </w:t>
      </w:r>
      <w:r>
        <w:t xml:space="preserve">-infection and replacement program, cost-effectiveness will be calculated for each implementation with the aim of reducing DALYs. The calculation of Cost-Effectiveness uses the following ratio: </w:t>
      </w:r>
    </w:p>
    <w:p w14:paraId="7F368674" w14:textId="4866EA56" w:rsidR="00D73CDC" w:rsidRPr="00D73CDC" w:rsidRDefault="00D73CDC" w:rsidP="002855B3">
      <m:oMathPara>
        <m:oMath>
          <m:r>
            <w:rPr>
              <w:rFonts w:ascii="Cambria Math" w:hAnsi="Cambria Math"/>
            </w:rPr>
            <m:t>CER=</m:t>
          </m:r>
          <m:f>
            <m:fPr>
              <m:ctrlPr>
                <w:rPr>
                  <w:rFonts w:ascii="Cambria Math" w:hAnsi="Cambria Math"/>
                  <w:i/>
                </w:rPr>
              </m:ctrlPr>
            </m:fPr>
            <m:num>
              <m:r>
                <w:rPr>
                  <w:rFonts w:ascii="Cambria Math" w:hAnsi="Cambria Math"/>
                </w:rPr>
                <m:t>total cost of program</m:t>
              </m:r>
            </m:num>
            <m:den>
              <m:r>
                <w:rPr>
                  <w:rFonts w:ascii="Cambria Math" w:hAnsi="Cambria Math"/>
                </w:rPr>
                <m:t>total DALYs averted</m:t>
              </m:r>
            </m:den>
          </m:f>
          <m:r>
            <w:rPr>
              <w:rFonts w:ascii="Cambria Math" w:hAnsi="Cambria Math"/>
            </w:rPr>
            <m:t xml:space="preserve"> </m:t>
          </m:r>
        </m:oMath>
      </m:oMathPara>
    </w:p>
    <w:p w14:paraId="5EB7B945" w14:textId="77777777" w:rsidR="00D73CDC" w:rsidRDefault="00D73CDC" w:rsidP="002855B3"/>
    <w:p w14:paraId="2F38C839" w14:textId="663AB626" w:rsidR="00D73CDC" w:rsidRDefault="00D73CDC" w:rsidP="009026AB">
      <w:pPr>
        <w:spacing w:line="480" w:lineRule="auto"/>
        <w:jc w:val="both"/>
      </w:pPr>
      <w:r>
        <w:t xml:space="preserve">Therefore, a more cost-effective program will have a lower CER. </w:t>
      </w:r>
    </w:p>
    <w:p w14:paraId="2E104DB7" w14:textId="6A32C5E2" w:rsidR="002855B3" w:rsidRDefault="00D73CDC" w:rsidP="009026AB">
      <w:pPr>
        <w:spacing w:line="480" w:lineRule="auto"/>
        <w:jc w:val="both"/>
      </w:pPr>
      <w:r>
        <w:tab/>
        <w:t>The CER for Dengue vaccination in Thailand is calculated to be $</w:t>
      </w:r>
      <w:r w:rsidR="00D56D21">
        <w:t>3,415.15</w:t>
      </w:r>
      <w:r>
        <w:t xml:space="preserve"> per DALY averted. </w:t>
      </w:r>
    </w:p>
    <w:p w14:paraId="40DDD105" w14:textId="538FE52B" w:rsidR="002855B3" w:rsidRDefault="00D73CDC">
      <m:oMathPara>
        <m:oMath>
          <m:r>
            <w:rPr>
              <w:rFonts w:ascii="Cambria Math" w:hAnsi="Cambria Math"/>
            </w:rPr>
            <m:t>CER=</m:t>
          </m:r>
          <m:f>
            <m:fPr>
              <m:ctrlPr>
                <w:rPr>
                  <w:rFonts w:ascii="Cambria Math" w:hAnsi="Cambria Math"/>
                  <w:i/>
                </w:rPr>
              </m:ctrlPr>
            </m:fPr>
            <m:num>
              <m:r>
                <w:rPr>
                  <w:rFonts w:ascii="Cambria Math" w:hAnsi="Cambria Math"/>
                </w:rPr>
                <m:t>$</m:t>
              </m:r>
              <m:r>
                <w:rPr>
                  <w:rFonts w:ascii="Cambria Math" w:hAnsi="Cambria Math"/>
                </w:rPr>
                <m:t>625,360,000</m:t>
              </m:r>
            </m:num>
            <m:den>
              <m:r>
                <w:rPr>
                  <w:rFonts w:ascii="Cambria Math" w:hAnsi="Cambria Math"/>
                </w:rPr>
                <m:t>183,113.34</m:t>
              </m:r>
            </m:den>
          </m:f>
        </m:oMath>
      </m:oMathPara>
    </w:p>
    <w:p w14:paraId="1345B816" w14:textId="77777777" w:rsidR="002855B3" w:rsidRDefault="002855B3" w:rsidP="009026AB">
      <w:pPr>
        <w:spacing w:line="480" w:lineRule="auto"/>
        <w:jc w:val="both"/>
      </w:pPr>
    </w:p>
    <w:p w14:paraId="5543963F" w14:textId="6B727D99" w:rsidR="00D73CDC" w:rsidRDefault="00D73CDC" w:rsidP="009026AB">
      <w:pPr>
        <w:spacing w:line="480" w:lineRule="auto"/>
        <w:jc w:val="both"/>
      </w:pPr>
      <w:r>
        <w:tab/>
        <w:t xml:space="preserve">The CER for </w:t>
      </w:r>
      <w:proofErr w:type="spellStart"/>
      <w:r w:rsidR="00287C10">
        <w:rPr>
          <w:i/>
          <w:iCs/>
        </w:rPr>
        <w:t>wMel</w:t>
      </w:r>
      <w:proofErr w:type="spellEnd"/>
      <w:r w:rsidR="00287C10">
        <w:rPr>
          <w:i/>
          <w:iCs/>
        </w:rPr>
        <w:t xml:space="preserve"> W</w:t>
      </w:r>
      <w:r w:rsidR="00287C10" w:rsidRPr="00287C10">
        <w:rPr>
          <w:i/>
          <w:iCs/>
        </w:rPr>
        <w:t>olbachia</w:t>
      </w:r>
      <w:r w:rsidR="00287C10">
        <w:t xml:space="preserve"> </w:t>
      </w:r>
      <w:r>
        <w:t>infection and mosquito replacement in Thailand is calculated to be $</w:t>
      </w:r>
      <w:r w:rsidR="006070B4">
        <w:t>1,570.82</w:t>
      </w:r>
      <w:r>
        <w:t xml:space="preserve"> per DALY averted. </w:t>
      </w:r>
    </w:p>
    <w:p w14:paraId="1CE7E294" w14:textId="7982BDC6" w:rsidR="00D73CDC" w:rsidRDefault="00D73CDC" w:rsidP="00D73CDC">
      <m:oMathPara>
        <m:oMath>
          <m:r>
            <w:rPr>
              <w:rFonts w:ascii="Cambria Math" w:hAnsi="Cambria Math"/>
            </w:rPr>
            <m:t>CER=</m:t>
          </m:r>
          <m:f>
            <m:fPr>
              <m:ctrlPr>
                <w:rPr>
                  <w:rFonts w:ascii="Cambria Math" w:hAnsi="Cambria Math"/>
                  <w:i/>
                </w:rPr>
              </m:ctrlPr>
            </m:fPr>
            <m:num>
              <m:r>
                <w:rPr>
                  <w:rFonts w:ascii="Cambria Math" w:hAnsi="Cambria Math"/>
                </w:rPr>
                <m:t>$</m:t>
              </m:r>
              <m:r>
                <w:rPr>
                  <w:rFonts w:ascii="Cambria Math" w:hAnsi="Cambria Math"/>
                </w:rPr>
                <m:t>173,290,000</m:t>
              </m:r>
            </m:num>
            <m:den>
              <m:r>
                <w:rPr>
                  <w:rFonts w:ascii="Cambria Math" w:hAnsi="Cambria Math"/>
                </w:rPr>
                <m:t>110,317.89</m:t>
              </m:r>
            </m:den>
          </m:f>
        </m:oMath>
      </m:oMathPara>
    </w:p>
    <w:p w14:paraId="393F575F" w14:textId="77777777" w:rsidR="00003273" w:rsidRDefault="00003273"/>
    <w:p w14:paraId="7EF83973" w14:textId="433AA9CA" w:rsidR="00D73CDC" w:rsidRDefault="00425D4B">
      <w:r>
        <w:rPr>
          <w:b/>
          <w:bCs/>
        </w:rPr>
        <w:t>Table 1</w:t>
      </w:r>
      <w:r w:rsidR="00A91D45">
        <w:rPr>
          <w:b/>
          <w:bCs/>
        </w:rPr>
        <w:t>0</w:t>
      </w:r>
      <w:r w:rsidR="00D73CDC">
        <w:t xml:space="preserve">: </w:t>
      </w:r>
      <w:r w:rsidR="00D73CDC" w:rsidRPr="00A91D45">
        <w:rPr>
          <w:b/>
          <w:bCs/>
        </w:rPr>
        <w:t>CEA comparisons between Thailand and Indonesia</w:t>
      </w:r>
    </w:p>
    <w:tbl>
      <w:tblPr>
        <w:tblStyle w:val="TableGrid"/>
        <w:tblW w:w="0" w:type="auto"/>
        <w:tblLook w:val="04A0" w:firstRow="1" w:lastRow="0" w:firstColumn="1" w:lastColumn="0" w:noHBand="0" w:noVBand="1"/>
      </w:tblPr>
      <w:tblGrid>
        <w:gridCol w:w="1870"/>
        <w:gridCol w:w="1870"/>
        <w:gridCol w:w="1870"/>
        <w:gridCol w:w="1870"/>
        <w:gridCol w:w="1870"/>
      </w:tblGrid>
      <w:tr w:rsidR="00D73CDC" w14:paraId="0E08D540" w14:textId="77777777" w:rsidTr="009026AB">
        <w:tc>
          <w:tcPr>
            <w:tcW w:w="1870" w:type="dxa"/>
            <w:tcBorders>
              <w:bottom w:val="single" w:sz="18" w:space="0" w:color="auto"/>
            </w:tcBorders>
          </w:tcPr>
          <w:p w14:paraId="68EFBE0D" w14:textId="77777777" w:rsidR="00D73CDC" w:rsidRDefault="00D73CDC" w:rsidP="00D73CDC"/>
        </w:tc>
        <w:tc>
          <w:tcPr>
            <w:tcW w:w="1870" w:type="dxa"/>
            <w:tcBorders>
              <w:bottom w:val="single" w:sz="18" w:space="0" w:color="auto"/>
            </w:tcBorders>
          </w:tcPr>
          <w:p w14:paraId="2E6CBEB6" w14:textId="16D32E3E" w:rsidR="00D73CDC" w:rsidRPr="009026AB" w:rsidRDefault="00287C10" w:rsidP="00D73CDC">
            <w:pPr>
              <w:rPr>
                <w:b/>
                <w:bCs/>
              </w:rPr>
            </w:pPr>
            <w:proofErr w:type="spellStart"/>
            <w:r w:rsidRPr="009026AB">
              <w:rPr>
                <w:b/>
                <w:bCs/>
                <w:i/>
                <w:iCs/>
              </w:rPr>
              <w:t>wMel</w:t>
            </w:r>
            <w:proofErr w:type="spellEnd"/>
            <w:r w:rsidRPr="009026AB">
              <w:rPr>
                <w:b/>
                <w:bCs/>
                <w:i/>
                <w:iCs/>
              </w:rPr>
              <w:t xml:space="preserve"> Wolbachia</w:t>
            </w:r>
            <w:r w:rsidR="00D73CDC" w:rsidRPr="009026AB">
              <w:rPr>
                <w:b/>
                <w:bCs/>
              </w:rPr>
              <w:t xml:space="preserve"> Control, </w:t>
            </w:r>
          </w:p>
          <w:p w14:paraId="505AD76E" w14:textId="1CDD29B5" w:rsidR="00D73CDC" w:rsidRPr="009026AB" w:rsidRDefault="00D73CDC" w:rsidP="00D73CDC">
            <w:pPr>
              <w:rPr>
                <w:b/>
                <w:bCs/>
              </w:rPr>
            </w:pPr>
            <w:r w:rsidRPr="009026AB">
              <w:rPr>
                <w:b/>
                <w:bCs/>
              </w:rPr>
              <w:t>Thailand</w:t>
            </w:r>
          </w:p>
        </w:tc>
        <w:tc>
          <w:tcPr>
            <w:tcW w:w="1870" w:type="dxa"/>
            <w:tcBorders>
              <w:bottom w:val="single" w:sz="18" w:space="0" w:color="auto"/>
            </w:tcBorders>
          </w:tcPr>
          <w:p w14:paraId="48078794" w14:textId="6B95B335" w:rsidR="00D73CDC" w:rsidRPr="009026AB" w:rsidRDefault="00D73CDC" w:rsidP="00D73CDC">
            <w:pPr>
              <w:rPr>
                <w:b/>
                <w:bCs/>
              </w:rPr>
            </w:pPr>
            <w:r w:rsidRPr="009026AB">
              <w:rPr>
                <w:b/>
                <w:bCs/>
              </w:rPr>
              <w:t>Dengue Vaccination, Thailand</w:t>
            </w:r>
          </w:p>
        </w:tc>
        <w:tc>
          <w:tcPr>
            <w:tcW w:w="1870" w:type="dxa"/>
            <w:tcBorders>
              <w:bottom w:val="single" w:sz="18" w:space="0" w:color="auto"/>
            </w:tcBorders>
          </w:tcPr>
          <w:p w14:paraId="63E912D4" w14:textId="5EEA59FF" w:rsidR="00D73CDC" w:rsidRPr="009026AB" w:rsidRDefault="00287C10" w:rsidP="00D73CDC">
            <w:pPr>
              <w:rPr>
                <w:b/>
                <w:bCs/>
              </w:rPr>
            </w:pPr>
            <w:proofErr w:type="spellStart"/>
            <w:r w:rsidRPr="009026AB">
              <w:rPr>
                <w:b/>
                <w:bCs/>
                <w:i/>
                <w:iCs/>
              </w:rPr>
              <w:t>wMel</w:t>
            </w:r>
            <w:proofErr w:type="spellEnd"/>
            <w:r w:rsidRPr="009026AB">
              <w:rPr>
                <w:b/>
                <w:bCs/>
                <w:i/>
                <w:iCs/>
              </w:rPr>
              <w:t xml:space="preserve"> Wolbachia</w:t>
            </w:r>
            <w:r w:rsidR="00D73CDC" w:rsidRPr="009026AB">
              <w:rPr>
                <w:b/>
                <w:bCs/>
              </w:rPr>
              <w:t xml:space="preserve"> Control, Indonesia</w:t>
            </w:r>
          </w:p>
        </w:tc>
        <w:tc>
          <w:tcPr>
            <w:tcW w:w="1870" w:type="dxa"/>
            <w:tcBorders>
              <w:bottom w:val="single" w:sz="18" w:space="0" w:color="auto"/>
            </w:tcBorders>
          </w:tcPr>
          <w:p w14:paraId="7F843597" w14:textId="15FD0B9A" w:rsidR="00D73CDC" w:rsidRPr="009026AB" w:rsidRDefault="00D73CDC" w:rsidP="00D73CDC">
            <w:pPr>
              <w:rPr>
                <w:b/>
                <w:bCs/>
              </w:rPr>
            </w:pPr>
            <w:r w:rsidRPr="009026AB">
              <w:rPr>
                <w:b/>
                <w:bCs/>
              </w:rPr>
              <w:t>Dengue Vaccination, Indonesia</w:t>
            </w:r>
          </w:p>
        </w:tc>
      </w:tr>
      <w:tr w:rsidR="00D73CDC" w14:paraId="714BF15F" w14:textId="77777777" w:rsidTr="009026AB">
        <w:tc>
          <w:tcPr>
            <w:tcW w:w="1870" w:type="dxa"/>
            <w:tcBorders>
              <w:top w:val="single" w:sz="18" w:space="0" w:color="auto"/>
            </w:tcBorders>
          </w:tcPr>
          <w:p w14:paraId="03E9A13D" w14:textId="40880C46" w:rsidR="00D73CDC" w:rsidRDefault="00D73CDC" w:rsidP="00D73CDC">
            <w:r>
              <w:t>Cost per DALY averted</w:t>
            </w:r>
          </w:p>
        </w:tc>
        <w:tc>
          <w:tcPr>
            <w:tcW w:w="1870" w:type="dxa"/>
            <w:tcBorders>
              <w:top w:val="single" w:sz="18" w:space="0" w:color="auto"/>
            </w:tcBorders>
          </w:tcPr>
          <w:p w14:paraId="34DB6259" w14:textId="72793B44" w:rsidR="00D73CDC" w:rsidRDefault="00D73CDC" w:rsidP="00D73CDC">
            <w:r>
              <w:t>$</w:t>
            </w:r>
            <w:r w:rsidR="006070B4">
              <w:t>1,570.82</w:t>
            </w:r>
          </w:p>
        </w:tc>
        <w:tc>
          <w:tcPr>
            <w:tcW w:w="1870" w:type="dxa"/>
            <w:tcBorders>
              <w:top w:val="single" w:sz="18" w:space="0" w:color="auto"/>
            </w:tcBorders>
          </w:tcPr>
          <w:p w14:paraId="5F58CB38" w14:textId="3290CA29" w:rsidR="00D73CDC" w:rsidRDefault="00D73CDC" w:rsidP="00D73CDC">
            <w:r>
              <w:t>$</w:t>
            </w:r>
            <w:r w:rsidR="006070B4">
              <w:t>3,415</w:t>
            </w:r>
            <w:r w:rsidR="00F95880">
              <w:t>.</w:t>
            </w:r>
            <w:r w:rsidR="006070B4">
              <w:t>15</w:t>
            </w:r>
          </w:p>
        </w:tc>
        <w:tc>
          <w:tcPr>
            <w:tcW w:w="1870" w:type="dxa"/>
            <w:tcBorders>
              <w:top w:val="single" w:sz="18" w:space="0" w:color="auto"/>
            </w:tcBorders>
          </w:tcPr>
          <w:p w14:paraId="6C7909D8" w14:textId="7DCA9AE6" w:rsidR="00D73CDC" w:rsidRDefault="00D73CDC" w:rsidP="00D73CDC">
            <w:r>
              <w:t>$</w:t>
            </w:r>
            <w:r w:rsidR="003557D2">
              <w:t>1,566</w:t>
            </w:r>
          </w:p>
        </w:tc>
        <w:tc>
          <w:tcPr>
            <w:tcW w:w="1870" w:type="dxa"/>
            <w:tcBorders>
              <w:top w:val="single" w:sz="18" w:space="0" w:color="auto"/>
            </w:tcBorders>
          </w:tcPr>
          <w:p w14:paraId="7A7B8FE3" w14:textId="5BF597F0" w:rsidR="00D73CDC" w:rsidRDefault="00D73CDC" w:rsidP="00D73CDC">
            <w:r>
              <w:t>$</w:t>
            </w:r>
            <w:r w:rsidR="003557D2">
              <w:t>3,774.07</w:t>
            </w:r>
          </w:p>
        </w:tc>
      </w:tr>
    </w:tbl>
    <w:p w14:paraId="1DD22FD6" w14:textId="77777777" w:rsidR="00D73CDC" w:rsidRDefault="00D73CDC"/>
    <w:p w14:paraId="2AF3169F" w14:textId="77777777" w:rsidR="00D73CDC" w:rsidRDefault="00D73CDC" w:rsidP="009026AB">
      <w:pPr>
        <w:spacing w:line="480" w:lineRule="auto"/>
        <w:jc w:val="both"/>
        <w:rPr>
          <w:b/>
          <w:bCs/>
        </w:rPr>
      </w:pPr>
      <w:r w:rsidRPr="00D73CDC">
        <w:rPr>
          <w:b/>
          <w:bCs/>
        </w:rPr>
        <w:lastRenderedPageBreak/>
        <w:t xml:space="preserve">Discussion: </w:t>
      </w:r>
    </w:p>
    <w:p w14:paraId="063B2517" w14:textId="3CCC10F8" w:rsidR="001A53F4" w:rsidRDefault="00D73CDC" w:rsidP="009026AB">
      <w:pPr>
        <w:spacing w:line="480" w:lineRule="auto"/>
        <w:jc w:val="both"/>
      </w:pPr>
      <w:r>
        <w:tab/>
      </w:r>
      <w:r w:rsidR="00FD5034">
        <w:t xml:space="preserve">In Thailand, both the </w:t>
      </w:r>
      <w:proofErr w:type="spellStart"/>
      <w:r w:rsidR="00287C10">
        <w:rPr>
          <w:i/>
          <w:iCs/>
        </w:rPr>
        <w:t>wMel</w:t>
      </w:r>
      <w:proofErr w:type="spellEnd"/>
      <w:r w:rsidR="00287C10">
        <w:rPr>
          <w:i/>
          <w:iCs/>
        </w:rPr>
        <w:t xml:space="preserve"> W</w:t>
      </w:r>
      <w:r w:rsidR="00287C10" w:rsidRPr="00287C10">
        <w:rPr>
          <w:i/>
          <w:iCs/>
        </w:rPr>
        <w:t>olbachia</w:t>
      </w:r>
      <w:r w:rsidR="00287C10">
        <w:t xml:space="preserve"> </w:t>
      </w:r>
      <w:r w:rsidR="00FD5034">
        <w:t xml:space="preserve">-infection implementation and the dengue vaccination implementation were less cost-effective than the estimated implementations in Indonesia. However, </w:t>
      </w:r>
      <w:r w:rsidR="003557D2">
        <w:t>based on the CE</w:t>
      </w:r>
      <w:r w:rsidR="00A91D45">
        <w:t>R</w:t>
      </w:r>
      <w:r w:rsidR="003557D2">
        <w:t xml:space="preserve"> calculations, </w:t>
      </w:r>
      <w:proofErr w:type="spellStart"/>
      <w:r w:rsidR="00287C10">
        <w:rPr>
          <w:i/>
          <w:iCs/>
        </w:rPr>
        <w:t>wMel</w:t>
      </w:r>
      <w:proofErr w:type="spellEnd"/>
      <w:r w:rsidR="00287C10">
        <w:rPr>
          <w:i/>
          <w:iCs/>
        </w:rPr>
        <w:t xml:space="preserve"> W</w:t>
      </w:r>
      <w:r w:rsidR="00287C10" w:rsidRPr="00287C10">
        <w:rPr>
          <w:i/>
          <w:iCs/>
        </w:rPr>
        <w:t>olbachia</w:t>
      </w:r>
      <w:r w:rsidR="003557D2">
        <w:t xml:space="preserve"> implementation in the largest city was more cost effective</w:t>
      </w:r>
      <w:r w:rsidR="009026AB">
        <w:t xml:space="preserve"> </w:t>
      </w:r>
      <w:r w:rsidR="00A91D45">
        <w:t xml:space="preserve">at reducing DALYs attributable to dengue </w:t>
      </w:r>
      <w:r w:rsidR="009026AB">
        <w:t xml:space="preserve">in both countries than a </w:t>
      </w:r>
      <w:proofErr w:type="spellStart"/>
      <w:r w:rsidR="009026AB" w:rsidRPr="009026AB">
        <w:rPr>
          <w:i/>
          <w:iCs/>
        </w:rPr>
        <w:t>Dengvaxia</w:t>
      </w:r>
      <w:proofErr w:type="spellEnd"/>
      <w:r w:rsidR="009026AB">
        <w:t xml:space="preserve"> implementation</w:t>
      </w:r>
      <w:r w:rsidR="003557D2">
        <w:t xml:space="preserve">. Vaccination of 4,710,100 </w:t>
      </w:r>
      <w:r w:rsidR="00A91D45">
        <w:t xml:space="preserve">children </w:t>
      </w:r>
      <w:r w:rsidR="003557D2">
        <w:t>in Thailand would cost $</w:t>
      </w:r>
      <w:r w:rsidR="00F95880">
        <w:t>3,415.15</w:t>
      </w:r>
      <w:r w:rsidR="00454166">
        <w:t xml:space="preserve"> </w:t>
      </w:r>
      <w:r w:rsidR="003557D2">
        <w:t xml:space="preserve">per DALY averted, while implementing a </w:t>
      </w:r>
      <w:proofErr w:type="spellStart"/>
      <w:r w:rsidR="00287C10">
        <w:rPr>
          <w:i/>
          <w:iCs/>
        </w:rPr>
        <w:t>wMel</w:t>
      </w:r>
      <w:proofErr w:type="spellEnd"/>
      <w:r w:rsidR="00287C10">
        <w:rPr>
          <w:i/>
          <w:iCs/>
        </w:rPr>
        <w:t xml:space="preserve"> W</w:t>
      </w:r>
      <w:r w:rsidR="00287C10" w:rsidRPr="00287C10">
        <w:rPr>
          <w:i/>
          <w:iCs/>
        </w:rPr>
        <w:t>olbachia</w:t>
      </w:r>
      <w:r w:rsidR="00287C10">
        <w:t xml:space="preserve"> </w:t>
      </w:r>
      <w:r w:rsidR="003557D2">
        <w:t xml:space="preserve">replacement program for the </w:t>
      </w:r>
      <w:r w:rsidR="003557D2" w:rsidRPr="009026AB">
        <w:rPr>
          <w:i/>
          <w:iCs/>
        </w:rPr>
        <w:t xml:space="preserve">Aedes </w:t>
      </w:r>
      <w:r w:rsidR="009026AB">
        <w:rPr>
          <w:i/>
          <w:iCs/>
        </w:rPr>
        <w:t>a</w:t>
      </w:r>
      <w:r w:rsidR="003557D2" w:rsidRPr="009026AB">
        <w:rPr>
          <w:i/>
          <w:iCs/>
        </w:rPr>
        <w:t>egypti</w:t>
      </w:r>
      <w:r w:rsidR="003557D2">
        <w:t xml:space="preserve"> population would cost $</w:t>
      </w:r>
      <w:r w:rsidR="00F95880">
        <w:t>1,570.82</w:t>
      </w:r>
      <w:r w:rsidR="003557D2">
        <w:t xml:space="preserve"> per DALY averted.</w:t>
      </w:r>
      <w:r w:rsidR="007B5AF0">
        <w:t xml:space="preserve"> This also makes </w:t>
      </w:r>
      <w:r w:rsidR="00CD05D3">
        <w:t>both</w:t>
      </w:r>
      <w:r w:rsidR="007B5AF0">
        <w:t xml:space="preserve"> implementation</w:t>
      </w:r>
      <w:r w:rsidR="00CD05D3">
        <w:t>s</w:t>
      </w:r>
      <w:r w:rsidR="007B5AF0">
        <w:t xml:space="preserve"> more cost-effective than the 2014 proposal to use insecticide-treated school uniforms to prevent dengue in schoolchildren, which had a cost-effectiveness of $6,234 per DALY averted in 2018 dollars (Tozan et al, 2014). </w:t>
      </w:r>
    </w:p>
    <w:p w14:paraId="311BBFC5" w14:textId="6CA954B0" w:rsidR="00E72A69" w:rsidRDefault="0015634C" w:rsidP="009026AB">
      <w:pPr>
        <w:spacing w:line="480" w:lineRule="auto"/>
        <w:jc w:val="both"/>
      </w:pPr>
      <w:r>
        <w:tab/>
      </w:r>
      <w:r w:rsidR="003557D2">
        <w:t xml:space="preserve">Though </w:t>
      </w:r>
      <w:proofErr w:type="spellStart"/>
      <w:r w:rsidR="00287C10">
        <w:rPr>
          <w:i/>
          <w:iCs/>
        </w:rPr>
        <w:t>wMel</w:t>
      </w:r>
      <w:proofErr w:type="spellEnd"/>
      <w:r w:rsidR="00287C10">
        <w:rPr>
          <w:i/>
          <w:iCs/>
        </w:rPr>
        <w:t xml:space="preserve"> W</w:t>
      </w:r>
      <w:r w:rsidR="00287C10" w:rsidRPr="00287C10">
        <w:rPr>
          <w:i/>
          <w:iCs/>
        </w:rPr>
        <w:t>olbachia</w:t>
      </w:r>
      <w:r w:rsidR="003557D2">
        <w:t xml:space="preserve"> implementation has already been shown to be more cost-effective than dengue vaccination</w:t>
      </w:r>
      <w:r w:rsidR="00CD54D7">
        <w:t xml:space="preserve"> in Thailand</w:t>
      </w:r>
      <w:r w:rsidR="003557D2">
        <w:t xml:space="preserve">, this protection against dengue isn’t the only </w:t>
      </w:r>
      <w:r w:rsidR="009026AB">
        <w:t>benefit of</w:t>
      </w:r>
      <w:r w:rsidR="003557D2">
        <w:t xml:space="preserve"> a </w:t>
      </w:r>
      <w:proofErr w:type="spellStart"/>
      <w:r w:rsidR="00287C10">
        <w:rPr>
          <w:i/>
          <w:iCs/>
        </w:rPr>
        <w:t>wMel</w:t>
      </w:r>
      <w:proofErr w:type="spellEnd"/>
      <w:r w:rsidR="00287C10">
        <w:rPr>
          <w:i/>
          <w:iCs/>
        </w:rPr>
        <w:t xml:space="preserve"> W</w:t>
      </w:r>
      <w:r w:rsidR="00287C10" w:rsidRPr="00287C10">
        <w:rPr>
          <w:i/>
          <w:iCs/>
        </w:rPr>
        <w:t>olbachia</w:t>
      </w:r>
      <w:r w:rsidR="003557D2">
        <w:t xml:space="preserve"> implementation.</w:t>
      </w:r>
      <w:r w:rsidR="00E72A69">
        <w:t xml:space="preserve"> </w:t>
      </w:r>
      <w:r w:rsidR="009026AB">
        <w:t>For one, th</w:t>
      </w:r>
      <w:r w:rsidR="00E72A69">
        <w:t xml:space="preserve">e implementation period for accelerated </w:t>
      </w:r>
      <w:proofErr w:type="spellStart"/>
      <w:r w:rsidR="00287C10">
        <w:rPr>
          <w:i/>
          <w:iCs/>
        </w:rPr>
        <w:t>wMel</w:t>
      </w:r>
      <w:proofErr w:type="spellEnd"/>
      <w:r w:rsidR="00287C10">
        <w:rPr>
          <w:i/>
          <w:iCs/>
        </w:rPr>
        <w:t xml:space="preserve"> W</w:t>
      </w:r>
      <w:r w:rsidR="00287C10" w:rsidRPr="00287C10">
        <w:rPr>
          <w:i/>
          <w:iCs/>
        </w:rPr>
        <w:t>olbachia</w:t>
      </w:r>
      <w:r w:rsidR="00E72A69">
        <w:t xml:space="preserve"> implementation is a year shorter than the </w:t>
      </w:r>
      <w:proofErr w:type="spellStart"/>
      <w:r w:rsidR="00287C10">
        <w:rPr>
          <w:i/>
          <w:iCs/>
        </w:rPr>
        <w:t>D</w:t>
      </w:r>
      <w:r w:rsidR="00E72A69" w:rsidRPr="00E72A69">
        <w:rPr>
          <w:i/>
          <w:iCs/>
        </w:rPr>
        <w:t>engvaxia</w:t>
      </w:r>
      <w:proofErr w:type="spellEnd"/>
      <w:r w:rsidR="00E72A69">
        <w:t xml:space="preserve"> implementation. </w:t>
      </w:r>
      <w:r w:rsidR="009026AB">
        <w:t xml:space="preserve">Additionally, </w:t>
      </w:r>
      <w:proofErr w:type="spellStart"/>
      <w:r w:rsidR="00287C10">
        <w:rPr>
          <w:i/>
          <w:iCs/>
        </w:rPr>
        <w:t>wMel</w:t>
      </w:r>
      <w:proofErr w:type="spellEnd"/>
      <w:r w:rsidR="00287C10">
        <w:rPr>
          <w:i/>
          <w:iCs/>
        </w:rPr>
        <w:t xml:space="preserve"> W</w:t>
      </w:r>
      <w:r w:rsidR="00287C10" w:rsidRPr="00287C10">
        <w:rPr>
          <w:i/>
          <w:iCs/>
        </w:rPr>
        <w:t>olbachia</w:t>
      </w:r>
      <w:r w:rsidR="00287C10">
        <w:t xml:space="preserve"> </w:t>
      </w:r>
      <w:r>
        <w:t>infection of Aedes Aegypti mosquitoes can also prevent cases of other arboviruses, including chikungunya, Zika, and malaria (</w:t>
      </w:r>
      <w:proofErr w:type="spellStart"/>
      <w:r w:rsidR="009026AB">
        <w:t>Aliota</w:t>
      </w:r>
      <w:proofErr w:type="spellEnd"/>
      <w:r w:rsidR="009026AB">
        <w:t xml:space="preserve"> et al, 2016, Van den </w:t>
      </w:r>
      <w:proofErr w:type="spellStart"/>
      <w:r w:rsidR="009026AB">
        <w:t>Hurk</w:t>
      </w:r>
      <w:proofErr w:type="spellEnd"/>
      <w:r w:rsidR="009026AB">
        <w:t>, 2012, and Walker et al, 2011, as cited in Brady, 2020)</w:t>
      </w:r>
      <w:r>
        <w:t xml:space="preserve">). </w:t>
      </w:r>
      <w:r w:rsidR="00E72A69">
        <w:t xml:space="preserve">By preventing cases from these other viruses that are also transmitted by Aedes Aegypti mosquitoes, the </w:t>
      </w:r>
      <w:proofErr w:type="spellStart"/>
      <w:r w:rsidR="00287C10">
        <w:rPr>
          <w:i/>
          <w:iCs/>
        </w:rPr>
        <w:t>wMel</w:t>
      </w:r>
      <w:proofErr w:type="spellEnd"/>
      <w:r w:rsidR="00287C10">
        <w:rPr>
          <w:i/>
          <w:iCs/>
        </w:rPr>
        <w:t xml:space="preserve"> W</w:t>
      </w:r>
      <w:r w:rsidR="00287C10" w:rsidRPr="00287C10">
        <w:rPr>
          <w:i/>
          <w:iCs/>
        </w:rPr>
        <w:t>olbachia</w:t>
      </w:r>
      <w:r w:rsidR="00E72A69">
        <w:t xml:space="preserve"> implementations in both Indonesia and Th</w:t>
      </w:r>
      <w:r w:rsidR="009026AB">
        <w:t>ai</w:t>
      </w:r>
      <w:r w:rsidR="00E72A69">
        <w:t xml:space="preserve">land will be even more cost-effective than they initially appear. </w:t>
      </w:r>
    </w:p>
    <w:p w14:paraId="5ECD5D8F" w14:textId="09F1DDE1" w:rsidR="00E72A69" w:rsidRDefault="00E72A69" w:rsidP="009026AB">
      <w:pPr>
        <w:spacing w:line="480" w:lineRule="auto"/>
        <w:jc w:val="both"/>
      </w:pPr>
      <w:r>
        <w:tab/>
        <w:t xml:space="preserve">While there are many benefits to the </w:t>
      </w:r>
      <w:proofErr w:type="spellStart"/>
      <w:r w:rsidR="00287C10">
        <w:rPr>
          <w:i/>
          <w:iCs/>
        </w:rPr>
        <w:t>wMel</w:t>
      </w:r>
      <w:proofErr w:type="spellEnd"/>
      <w:r w:rsidR="00287C10">
        <w:rPr>
          <w:i/>
          <w:iCs/>
        </w:rPr>
        <w:t xml:space="preserve"> W</w:t>
      </w:r>
      <w:r w:rsidR="00287C10" w:rsidRPr="00287C10">
        <w:rPr>
          <w:i/>
          <w:iCs/>
        </w:rPr>
        <w:t>olbachia</w:t>
      </w:r>
      <w:r>
        <w:t xml:space="preserve"> implementation, it is necessary to point out the differing priorities of each of the program. Dengue vaccination, available for only </w:t>
      </w:r>
      <w:r w:rsidR="009026AB">
        <w:t>children between the ages of 9 and 16</w:t>
      </w:r>
      <w:r>
        <w:t xml:space="preserve">, prioritizes the age cohort with the largest prevalence </w:t>
      </w:r>
      <w:r w:rsidR="009026AB">
        <w:t xml:space="preserve">and </w:t>
      </w:r>
      <w:r w:rsidR="009026AB">
        <w:lastRenderedPageBreak/>
        <w:t xml:space="preserve">burden </w:t>
      </w:r>
      <w:r>
        <w:t>of dengue</w:t>
      </w:r>
      <w:r w:rsidR="009026AB">
        <w:t>.</w:t>
      </w:r>
      <w:r>
        <w:t xml:space="preserve"> </w:t>
      </w:r>
      <w:proofErr w:type="spellStart"/>
      <w:r w:rsidRPr="009026AB">
        <w:rPr>
          <w:i/>
          <w:iCs/>
        </w:rPr>
        <w:t>Dengvaxia</w:t>
      </w:r>
      <w:proofErr w:type="spellEnd"/>
      <w:r>
        <w:t>, however, can only be given to children who have already had dengue, as those who have the vaccine prior to dengue infection are at an increased risk for contracting a more severe form of dengue</w:t>
      </w:r>
      <w:r w:rsidR="00003273">
        <w:t xml:space="preserve">. </w:t>
      </w:r>
      <w:r>
        <w:t xml:space="preserve">Thus, while </w:t>
      </w:r>
      <w:proofErr w:type="spellStart"/>
      <w:r w:rsidR="00287C10">
        <w:rPr>
          <w:i/>
          <w:iCs/>
        </w:rPr>
        <w:t>wMel</w:t>
      </w:r>
      <w:proofErr w:type="spellEnd"/>
      <w:r w:rsidR="00287C10">
        <w:rPr>
          <w:i/>
          <w:iCs/>
        </w:rPr>
        <w:t xml:space="preserve"> W</w:t>
      </w:r>
      <w:r w:rsidR="00287C10" w:rsidRPr="00287C10">
        <w:rPr>
          <w:i/>
          <w:iCs/>
        </w:rPr>
        <w:t>olbachia</w:t>
      </w:r>
      <w:r w:rsidR="00287C10">
        <w:t xml:space="preserve"> </w:t>
      </w:r>
      <w:r>
        <w:t xml:space="preserve">implementation </w:t>
      </w:r>
      <w:r w:rsidR="009026AB">
        <w:t>conversely</w:t>
      </w:r>
      <w:r>
        <w:t xml:space="preserve"> prioritizes the health of those living in urban centers, it provides protection to all individuals, dengue-naïve and otherwise, in that city. When it comes to implementation, while it is important to examine the cost-effectiveness of an intervention, it is also necessary, in this case, to balance the priorities of serving differing target populations. </w:t>
      </w:r>
    </w:p>
    <w:p w14:paraId="108DF78E" w14:textId="77777777" w:rsidR="00E72A69" w:rsidRDefault="00E72A69" w:rsidP="009026AB">
      <w:pPr>
        <w:spacing w:line="480" w:lineRule="auto"/>
        <w:jc w:val="both"/>
      </w:pPr>
    </w:p>
    <w:p w14:paraId="54501BCB" w14:textId="479A98CC" w:rsidR="009026AB" w:rsidRDefault="00E72A69" w:rsidP="009026AB">
      <w:pPr>
        <w:spacing w:line="480" w:lineRule="auto"/>
        <w:jc w:val="both"/>
      </w:pPr>
      <w:r w:rsidRPr="00E72A69">
        <w:rPr>
          <w:b/>
          <w:bCs/>
        </w:rPr>
        <w:t>Conclusion</w:t>
      </w:r>
      <w:r>
        <w:t xml:space="preserve">: </w:t>
      </w:r>
    </w:p>
    <w:p w14:paraId="78EFA553" w14:textId="007C49B1" w:rsidR="00201B21" w:rsidRPr="00D73CDC" w:rsidRDefault="009026AB" w:rsidP="006476BB">
      <w:pPr>
        <w:spacing w:line="480" w:lineRule="auto"/>
        <w:ind w:firstLine="720"/>
        <w:jc w:val="both"/>
        <w:rPr>
          <w:b/>
          <w:bCs/>
        </w:rPr>
      </w:pPr>
      <w:r>
        <w:t xml:space="preserve">This CEA compared </w:t>
      </w:r>
      <w:proofErr w:type="spellStart"/>
      <w:r>
        <w:rPr>
          <w:i/>
          <w:iCs/>
        </w:rPr>
        <w:t>wMel</w:t>
      </w:r>
      <w:proofErr w:type="spellEnd"/>
      <w:r>
        <w:rPr>
          <w:i/>
          <w:iCs/>
        </w:rPr>
        <w:t xml:space="preserve"> W</w:t>
      </w:r>
      <w:r w:rsidRPr="00287C10">
        <w:rPr>
          <w:i/>
          <w:iCs/>
        </w:rPr>
        <w:t>olbachia</w:t>
      </w:r>
      <w:r>
        <w:t xml:space="preserve"> implementation and dengue vaccination as possible programs for the prevention of dengue in Thailand from proposed implementations in Indonesia. After adjustments for healthcare system quality and health indicators </w:t>
      </w:r>
      <w:r w:rsidR="00003273">
        <w:t>in</w:t>
      </w:r>
      <w:r>
        <w:t xml:space="preserve"> Thailand compared to Indonesia, a cost-effectiveness ratio in terms of DALYs averted was calculated for both programs. Both </w:t>
      </w:r>
      <w:proofErr w:type="spellStart"/>
      <w:r w:rsidRPr="00287C10">
        <w:rPr>
          <w:i/>
          <w:iCs/>
        </w:rPr>
        <w:t>wMel</w:t>
      </w:r>
      <w:proofErr w:type="spellEnd"/>
      <w:r w:rsidRPr="00287C10">
        <w:rPr>
          <w:i/>
          <w:iCs/>
        </w:rPr>
        <w:t xml:space="preserve"> Wolbachia</w:t>
      </w:r>
      <w:r>
        <w:t xml:space="preserve"> strain implementation and dengue vaccination were less cost-effective in Thailand than Indonesia, however, </w:t>
      </w:r>
      <w:proofErr w:type="spellStart"/>
      <w:r>
        <w:rPr>
          <w:i/>
          <w:iCs/>
        </w:rPr>
        <w:t>wMel</w:t>
      </w:r>
      <w:proofErr w:type="spellEnd"/>
      <w:r>
        <w:rPr>
          <w:i/>
          <w:iCs/>
        </w:rPr>
        <w:t xml:space="preserve"> W</w:t>
      </w:r>
      <w:r w:rsidRPr="00287C10">
        <w:rPr>
          <w:i/>
          <w:iCs/>
        </w:rPr>
        <w:t>olbachia</w:t>
      </w:r>
      <w:r>
        <w:t xml:space="preserve"> implementation in both countries was more cost-effective at averting DALYs attributable to dengue than a </w:t>
      </w:r>
      <w:proofErr w:type="spellStart"/>
      <w:r w:rsidRPr="009026AB">
        <w:rPr>
          <w:i/>
          <w:iCs/>
        </w:rPr>
        <w:t>Dengvaxia</w:t>
      </w:r>
      <w:proofErr w:type="spellEnd"/>
      <w:r>
        <w:t xml:space="preserve"> implementation</w:t>
      </w:r>
      <w:r w:rsidR="00003273">
        <w:t xml:space="preserve"> in both countries</w:t>
      </w:r>
      <w:r>
        <w:t xml:space="preserve">. These conclusions support recent efforts to infect and spread </w:t>
      </w:r>
      <w:r w:rsidRPr="009026AB">
        <w:rPr>
          <w:i/>
          <w:iCs/>
        </w:rPr>
        <w:t xml:space="preserve">Aedes </w:t>
      </w:r>
      <w:r>
        <w:rPr>
          <w:i/>
          <w:iCs/>
        </w:rPr>
        <w:t>a</w:t>
      </w:r>
      <w:r w:rsidRPr="009026AB">
        <w:rPr>
          <w:i/>
          <w:iCs/>
        </w:rPr>
        <w:t xml:space="preserve">egypti </w:t>
      </w:r>
      <w:r>
        <w:t xml:space="preserve">mosquitoes with </w:t>
      </w:r>
      <w:proofErr w:type="spellStart"/>
      <w:r>
        <w:rPr>
          <w:i/>
          <w:iCs/>
        </w:rPr>
        <w:t>wMel</w:t>
      </w:r>
      <w:proofErr w:type="spellEnd"/>
      <w:r>
        <w:rPr>
          <w:i/>
          <w:iCs/>
        </w:rPr>
        <w:t xml:space="preserve"> W</w:t>
      </w:r>
      <w:r w:rsidRPr="00287C10">
        <w:rPr>
          <w:i/>
          <w:iCs/>
        </w:rPr>
        <w:t>olbachia</w:t>
      </w:r>
      <w:r>
        <w:t xml:space="preserve"> strains for the prevention of dengue and other dangerous arboviruses on the rise. </w:t>
      </w:r>
      <w:r w:rsidR="00201B21" w:rsidRPr="00D73CDC">
        <w:rPr>
          <w:b/>
          <w:bCs/>
        </w:rPr>
        <w:br w:type="page"/>
      </w:r>
    </w:p>
    <w:p w14:paraId="5F95B0D3" w14:textId="2B3DD06B" w:rsidR="002F5142" w:rsidRDefault="009026AB">
      <w:r w:rsidRPr="009026AB">
        <w:rPr>
          <w:b/>
          <w:bCs/>
        </w:rPr>
        <w:lastRenderedPageBreak/>
        <w:t>Works Cited</w:t>
      </w:r>
      <w:r w:rsidR="002F5142">
        <w:t xml:space="preserve">: </w:t>
      </w:r>
    </w:p>
    <w:p w14:paraId="390DAB00" w14:textId="4E2C21AA" w:rsidR="00A112DC" w:rsidRDefault="00A112DC"/>
    <w:p w14:paraId="0E146162" w14:textId="4EB34E90" w:rsidR="00F47B05" w:rsidRDefault="00F47B05" w:rsidP="009026AB">
      <w:pPr>
        <w:spacing w:line="480" w:lineRule="auto"/>
        <w:ind w:left="720" w:hanging="720"/>
        <w:jc w:val="both"/>
        <w:rPr>
          <w:color w:val="222222"/>
          <w:shd w:val="clear" w:color="auto" w:fill="FFFFFF"/>
        </w:rPr>
      </w:pPr>
      <w:proofErr w:type="spellStart"/>
      <w:r w:rsidRPr="009026AB">
        <w:rPr>
          <w:color w:val="222222"/>
          <w:shd w:val="clear" w:color="auto" w:fill="FFFFFF"/>
        </w:rPr>
        <w:t>Aliota</w:t>
      </w:r>
      <w:proofErr w:type="spellEnd"/>
      <w:r w:rsidRPr="009026AB">
        <w:rPr>
          <w:color w:val="222222"/>
          <w:shd w:val="clear" w:color="auto" w:fill="FFFFFF"/>
        </w:rPr>
        <w:t xml:space="preserve">, M. T., </w:t>
      </w:r>
      <w:proofErr w:type="spellStart"/>
      <w:r w:rsidRPr="009026AB">
        <w:rPr>
          <w:color w:val="222222"/>
          <w:shd w:val="clear" w:color="auto" w:fill="FFFFFF"/>
        </w:rPr>
        <w:t>Peinado</w:t>
      </w:r>
      <w:proofErr w:type="spellEnd"/>
      <w:r w:rsidRPr="009026AB">
        <w:rPr>
          <w:color w:val="222222"/>
          <w:shd w:val="clear" w:color="auto" w:fill="FFFFFF"/>
        </w:rPr>
        <w:t>, S. A., Velez, I. D., &amp; Osorio, J. E. (2016). The w Mel strain of Wolbachia reduces transmission of Zika virus by Aedes aegypti. </w:t>
      </w:r>
      <w:r w:rsidRPr="009026AB">
        <w:rPr>
          <w:i/>
          <w:iCs/>
          <w:color w:val="222222"/>
          <w:shd w:val="clear" w:color="auto" w:fill="FFFFFF"/>
        </w:rPr>
        <w:t>Scientific reports</w:t>
      </w:r>
      <w:r w:rsidRPr="009026AB">
        <w:rPr>
          <w:color w:val="222222"/>
          <w:shd w:val="clear" w:color="auto" w:fill="FFFFFF"/>
        </w:rPr>
        <w:t>, </w:t>
      </w:r>
      <w:r w:rsidRPr="009026AB">
        <w:rPr>
          <w:i/>
          <w:iCs/>
          <w:color w:val="222222"/>
          <w:shd w:val="clear" w:color="auto" w:fill="FFFFFF"/>
        </w:rPr>
        <w:t>6</w:t>
      </w:r>
      <w:r w:rsidRPr="009026AB">
        <w:rPr>
          <w:color w:val="222222"/>
          <w:shd w:val="clear" w:color="auto" w:fill="FFFFFF"/>
        </w:rPr>
        <w:t>(1), 1-7.</w:t>
      </w:r>
    </w:p>
    <w:p w14:paraId="3833B4C4" w14:textId="77777777" w:rsidR="002D6D9E" w:rsidRDefault="007737A8" w:rsidP="002D6D9E">
      <w:pPr>
        <w:spacing w:line="480" w:lineRule="auto"/>
        <w:ind w:left="720" w:hanging="720"/>
        <w:jc w:val="both"/>
      </w:pPr>
      <w:r>
        <w:rPr>
          <w:color w:val="222222"/>
          <w:shd w:val="clear" w:color="auto" w:fill="FFFFFF"/>
        </w:rPr>
        <w:t xml:space="preserve">ASEAN Briefing. (2021). Minimum Wages in ASEAN for 2021. Retrieved from: </w:t>
      </w:r>
      <w:hyperlink r:id="rId6" w:history="1">
        <w:r w:rsidRPr="00A27DE8">
          <w:rPr>
            <w:rStyle w:val="Hyperlink"/>
          </w:rPr>
          <w:t>https://www.aseanbriefing.com/news/minimum-wages-in-asean-for-2021/</w:t>
        </w:r>
      </w:hyperlink>
    </w:p>
    <w:p w14:paraId="1646F96D" w14:textId="5E60AC8F" w:rsidR="00F24CBE" w:rsidRPr="009026AB" w:rsidRDefault="00E473AC" w:rsidP="007D3E47">
      <w:pPr>
        <w:spacing w:line="480" w:lineRule="auto"/>
        <w:ind w:left="720" w:hanging="720"/>
        <w:jc w:val="both"/>
      </w:pPr>
      <w:r w:rsidRPr="00DD5741">
        <w:rPr>
          <w:color w:val="222222"/>
          <w:shd w:val="clear" w:color="auto" w:fill="FFFFFF"/>
        </w:rPr>
        <w:t xml:space="preserve">Brady, O. J., </w:t>
      </w:r>
      <w:proofErr w:type="spellStart"/>
      <w:r w:rsidRPr="00DD5741">
        <w:rPr>
          <w:color w:val="222222"/>
          <w:shd w:val="clear" w:color="auto" w:fill="FFFFFF"/>
        </w:rPr>
        <w:t>Kharisma</w:t>
      </w:r>
      <w:proofErr w:type="spellEnd"/>
      <w:r w:rsidRPr="00DD5741">
        <w:rPr>
          <w:color w:val="222222"/>
          <w:shd w:val="clear" w:color="auto" w:fill="FFFFFF"/>
        </w:rPr>
        <w:t xml:space="preserve">, D. D., </w:t>
      </w:r>
      <w:proofErr w:type="spellStart"/>
      <w:r w:rsidRPr="00DD5741">
        <w:rPr>
          <w:color w:val="222222"/>
          <w:shd w:val="clear" w:color="auto" w:fill="FFFFFF"/>
        </w:rPr>
        <w:t>Wilastonegoro</w:t>
      </w:r>
      <w:proofErr w:type="spellEnd"/>
      <w:r w:rsidRPr="00DD5741">
        <w:rPr>
          <w:color w:val="222222"/>
          <w:shd w:val="clear" w:color="auto" w:fill="FFFFFF"/>
        </w:rPr>
        <w:t xml:space="preserve">, N. N., O’Reilly, K. M., </w:t>
      </w:r>
      <w:proofErr w:type="spellStart"/>
      <w:r w:rsidRPr="00DD5741">
        <w:rPr>
          <w:color w:val="222222"/>
          <w:shd w:val="clear" w:color="auto" w:fill="FFFFFF"/>
        </w:rPr>
        <w:t>Hendrickx</w:t>
      </w:r>
      <w:proofErr w:type="spellEnd"/>
      <w:r w:rsidRPr="00DD5741">
        <w:rPr>
          <w:color w:val="222222"/>
          <w:shd w:val="clear" w:color="auto" w:fill="FFFFFF"/>
        </w:rPr>
        <w:t xml:space="preserve">, E., Bastos, L. S., ... &amp; Shepard, D. S. (2020). The cost-effectiveness of controlling dengue in Indonesia using </w:t>
      </w:r>
      <w:proofErr w:type="spellStart"/>
      <w:r w:rsidRPr="00DD5741">
        <w:rPr>
          <w:color w:val="222222"/>
          <w:shd w:val="clear" w:color="auto" w:fill="FFFFFF"/>
        </w:rPr>
        <w:t>wMel</w:t>
      </w:r>
      <w:proofErr w:type="spellEnd"/>
      <w:r w:rsidRPr="00DD5741">
        <w:rPr>
          <w:color w:val="222222"/>
          <w:shd w:val="clear" w:color="auto" w:fill="FFFFFF"/>
        </w:rPr>
        <w:t xml:space="preserve"> Wolbachia released at scale: a modelling study. </w:t>
      </w:r>
      <w:r w:rsidRPr="00DD5741">
        <w:rPr>
          <w:i/>
          <w:iCs/>
          <w:color w:val="222222"/>
          <w:shd w:val="clear" w:color="auto" w:fill="FFFFFF"/>
        </w:rPr>
        <w:t>BMC medicine</w:t>
      </w:r>
      <w:r w:rsidRPr="00DD5741">
        <w:rPr>
          <w:color w:val="222222"/>
          <w:shd w:val="clear" w:color="auto" w:fill="FFFFFF"/>
        </w:rPr>
        <w:t>, </w:t>
      </w:r>
      <w:r w:rsidRPr="00DD5741">
        <w:rPr>
          <w:i/>
          <w:iCs/>
          <w:color w:val="222222"/>
          <w:shd w:val="clear" w:color="auto" w:fill="FFFFFF"/>
        </w:rPr>
        <w:t>18</w:t>
      </w:r>
      <w:r w:rsidRPr="00DD5741">
        <w:rPr>
          <w:color w:val="222222"/>
          <w:shd w:val="clear" w:color="auto" w:fill="FFFFFF"/>
        </w:rPr>
        <w:t>(1), 1-</w:t>
      </w:r>
      <w:proofErr w:type="gramStart"/>
      <w:r w:rsidRPr="00DD5741">
        <w:rPr>
          <w:color w:val="222222"/>
          <w:shd w:val="clear" w:color="auto" w:fill="FFFFFF"/>
        </w:rPr>
        <w:t>12.</w:t>
      </w:r>
      <w:r w:rsidR="00F24CBE" w:rsidRPr="009026AB">
        <w:rPr>
          <w:color w:val="222222"/>
          <w:shd w:val="clear" w:color="auto" w:fill="FFFFFF"/>
        </w:rPr>
        <w:t>.</w:t>
      </w:r>
      <w:proofErr w:type="gramEnd"/>
    </w:p>
    <w:p w14:paraId="68976571" w14:textId="0B83DCDE" w:rsidR="002855B3" w:rsidRPr="009026AB" w:rsidRDefault="002855B3" w:rsidP="009026AB">
      <w:pPr>
        <w:spacing w:line="480" w:lineRule="auto"/>
        <w:ind w:left="720" w:hanging="720"/>
        <w:jc w:val="both"/>
      </w:pPr>
      <w:r w:rsidRPr="009026AB">
        <w:rPr>
          <w:color w:val="222222"/>
          <w:shd w:val="clear" w:color="auto" w:fill="FFFFFF"/>
        </w:rPr>
        <w:t xml:space="preserve">Colón-González, F. J., </w:t>
      </w:r>
      <w:proofErr w:type="spellStart"/>
      <w:r w:rsidRPr="009026AB">
        <w:rPr>
          <w:color w:val="222222"/>
          <w:shd w:val="clear" w:color="auto" w:fill="FFFFFF"/>
        </w:rPr>
        <w:t>Fezzi</w:t>
      </w:r>
      <w:proofErr w:type="spellEnd"/>
      <w:r w:rsidRPr="009026AB">
        <w:rPr>
          <w:color w:val="222222"/>
          <w:shd w:val="clear" w:color="auto" w:fill="FFFFFF"/>
        </w:rPr>
        <w:t>, C., Lake, I. R., &amp; Hunter, P. R. (2013). The effects of weather and climate change on dengue. </w:t>
      </w:r>
      <w:proofErr w:type="spellStart"/>
      <w:r w:rsidRPr="009026AB">
        <w:rPr>
          <w:i/>
          <w:iCs/>
          <w:color w:val="222222"/>
          <w:shd w:val="clear" w:color="auto" w:fill="FFFFFF"/>
        </w:rPr>
        <w:t>PLoS</w:t>
      </w:r>
      <w:proofErr w:type="spellEnd"/>
      <w:r w:rsidRPr="009026AB">
        <w:rPr>
          <w:i/>
          <w:iCs/>
          <w:color w:val="222222"/>
          <w:shd w:val="clear" w:color="auto" w:fill="FFFFFF"/>
        </w:rPr>
        <w:t xml:space="preserve"> neglected tropical diseases</w:t>
      </w:r>
      <w:r w:rsidRPr="009026AB">
        <w:rPr>
          <w:color w:val="222222"/>
          <w:shd w:val="clear" w:color="auto" w:fill="FFFFFF"/>
        </w:rPr>
        <w:t>, </w:t>
      </w:r>
      <w:r w:rsidRPr="009026AB">
        <w:rPr>
          <w:i/>
          <w:iCs/>
          <w:color w:val="222222"/>
          <w:shd w:val="clear" w:color="auto" w:fill="FFFFFF"/>
        </w:rPr>
        <w:t>7</w:t>
      </w:r>
      <w:r w:rsidRPr="009026AB">
        <w:rPr>
          <w:color w:val="222222"/>
          <w:shd w:val="clear" w:color="auto" w:fill="FFFFFF"/>
        </w:rPr>
        <w:t>(11), e2503.</w:t>
      </w:r>
    </w:p>
    <w:p w14:paraId="3BD156C3" w14:textId="58D30AEF" w:rsidR="001E1D6D" w:rsidRDefault="001E1D6D" w:rsidP="009026AB">
      <w:pPr>
        <w:spacing w:line="480" w:lineRule="auto"/>
        <w:ind w:left="720" w:hanging="720"/>
        <w:jc w:val="both"/>
        <w:rPr>
          <w:color w:val="222222"/>
          <w:shd w:val="clear" w:color="auto" w:fill="FFFFFF"/>
        </w:rPr>
      </w:pPr>
      <w:r>
        <w:rPr>
          <w:color w:val="222222"/>
          <w:shd w:val="clear" w:color="auto" w:fill="FFFFFF"/>
        </w:rPr>
        <w:t xml:space="preserve">Global Petrol Prices (2021). Thailand fuel prices, electricity prices. Retrieved from: </w:t>
      </w:r>
      <w:hyperlink r:id="rId7" w:history="1">
        <w:r w:rsidRPr="00A27DE8">
          <w:rPr>
            <w:rStyle w:val="Hyperlink"/>
            <w:shd w:val="clear" w:color="auto" w:fill="FFFFFF"/>
          </w:rPr>
          <w:t>https://www.globalpetrolprices.com/Thailand/</w:t>
        </w:r>
      </w:hyperlink>
    </w:p>
    <w:p w14:paraId="1DB263B9" w14:textId="77777777" w:rsidR="005A0B84" w:rsidRDefault="001E1D6D" w:rsidP="005A0B84">
      <w:pPr>
        <w:spacing w:line="480" w:lineRule="auto"/>
        <w:ind w:left="720" w:hanging="720"/>
        <w:jc w:val="both"/>
        <w:rPr>
          <w:color w:val="222222"/>
          <w:shd w:val="clear" w:color="auto" w:fill="FFFFFF"/>
        </w:rPr>
      </w:pPr>
      <w:r>
        <w:rPr>
          <w:color w:val="222222"/>
          <w:shd w:val="clear" w:color="auto" w:fill="FFFFFF"/>
        </w:rPr>
        <w:t xml:space="preserve">Global Petrol Prices (2021). </w:t>
      </w:r>
      <w:r>
        <w:rPr>
          <w:color w:val="222222"/>
          <w:shd w:val="clear" w:color="auto" w:fill="FFFFFF"/>
        </w:rPr>
        <w:t>Indonesia</w:t>
      </w:r>
      <w:r>
        <w:rPr>
          <w:color w:val="222222"/>
          <w:shd w:val="clear" w:color="auto" w:fill="FFFFFF"/>
        </w:rPr>
        <w:t xml:space="preserve"> fuel prices, electricity prices. Retrieved from:</w:t>
      </w:r>
      <w:r>
        <w:rPr>
          <w:color w:val="222222"/>
          <w:shd w:val="clear" w:color="auto" w:fill="FFFFFF"/>
        </w:rPr>
        <w:t xml:space="preserve"> </w:t>
      </w:r>
      <w:hyperlink r:id="rId8" w:history="1">
        <w:r w:rsidRPr="00A27DE8">
          <w:rPr>
            <w:rStyle w:val="Hyperlink"/>
            <w:shd w:val="clear" w:color="auto" w:fill="FFFFFF"/>
          </w:rPr>
          <w:t>https://www.globalpetrolprices.com/Indonesia/</w:t>
        </w:r>
      </w:hyperlink>
    </w:p>
    <w:p w14:paraId="6D6B290D" w14:textId="312CA9E5" w:rsidR="00F47B05" w:rsidRPr="009026AB" w:rsidRDefault="00F47B05" w:rsidP="009026AB">
      <w:pPr>
        <w:spacing w:line="480" w:lineRule="auto"/>
        <w:ind w:left="720" w:hanging="720"/>
        <w:jc w:val="both"/>
      </w:pPr>
      <w:r w:rsidRPr="009026AB">
        <w:rPr>
          <w:color w:val="222222"/>
          <w:shd w:val="clear" w:color="auto" w:fill="FFFFFF"/>
        </w:rPr>
        <w:t>Hawley, William A. "The biology of Aedes albopictus." </w:t>
      </w:r>
      <w:r w:rsidRPr="009026AB">
        <w:rPr>
          <w:i/>
          <w:iCs/>
          <w:color w:val="222222"/>
          <w:shd w:val="clear" w:color="auto" w:fill="FFFFFF"/>
        </w:rPr>
        <w:t>Journal of the American Mosquito Control Association. Supplement</w:t>
      </w:r>
      <w:r w:rsidRPr="009026AB">
        <w:rPr>
          <w:color w:val="222222"/>
          <w:shd w:val="clear" w:color="auto" w:fill="FFFFFF"/>
        </w:rPr>
        <w:t> 1 (1988): 1-39.</w:t>
      </w:r>
    </w:p>
    <w:p w14:paraId="40068B95" w14:textId="197E7DD3" w:rsidR="00FD5034" w:rsidRPr="009026AB" w:rsidRDefault="00FD5034" w:rsidP="009026AB">
      <w:pPr>
        <w:spacing w:line="480" w:lineRule="auto"/>
        <w:ind w:left="720" w:hanging="720"/>
        <w:jc w:val="both"/>
      </w:pPr>
      <w:r w:rsidRPr="009026AB">
        <w:rPr>
          <w:color w:val="222222"/>
          <w:shd w:val="clear" w:color="auto" w:fill="FFFFFF"/>
        </w:rPr>
        <w:t xml:space="preserve">Hung, T. M., </w:t>
      </w:r>
      <w:proofErr w:type="spellStart"/>
      <w:r w:rsidRPr="009026AB">
        <w:rPr>
          <w:color w:val="222222"/>
          <w:shd w:val="clear" w:color="auto" w:fill="FFFFFF"/>
        </w:rPr>
        <w:t>Clapham</w:t>
      </w:r>
      <w:proofErr w:type="spellEnd"/>
      <w:r w:rsidRPr="009026AB">
        <w:rPr>
          <w:color w:val="222222"/>
          <w:shd w:val="clear" w:color="auto" w:fill="FFFFFF"/>
        </w:rPr>
        <w:t xml:space="preserve">, H. E., Bettis, A. A., </w:t>
      </w:r>
      <w:proofErr w:type="spellStart"/>
      <w:r w:rsidRPr="009026AB">
        <w:rPr>
          <w:color w:val="222222"/>
          <w:shd w:val="clear" w:color="auto" w:fill="FFFFFF"/>
        </w:rPr>
        <w:t>Cuong</w:t>
      </w:r>
      <w:proofErr w:type="spellEnd"/>
      <w:r w:rsidRPr="009026AB">
        <w:rPr>
          <w:color w:val="222222"/>
          <w:shd w:val="clear" w:color="auto" w:fill="FFFFFF"/>
        </w:rPr>
        <w:t>, H. Q., Thwaites, G. E., Wills, B. A., ... &amp; Turner, H. C. (2018). The estimates of the health and economic burden of dengue in Vietnam. </w:t>
      </w:r>
      <w:r w:rsidRPr="009026AB">
        <w:rPr>
          <w:i/>
          <w:iCs/>
          <w:color w:val="222222"/>
          <w:shd w:val="clear" w:color="auto" w:fill="FFFFFF"/>
        </w:rPr>
        <w:t>Trends in parasitology</w:t>
      </w:r>
      <w:r w:rsidRPr="009026AB">
        <w:rPr>
          <w:color w:val="222222"/>
          <w:shd w:val="clear" w:color="auto" w:fill="FFFFFF"/>
        </w:rPr>
        <w:t>, </w:t>
      </w:r>
      <w:r w:rsidRPr="009026AB">
        <w:rPr>
          <w:i/>
          <w:iCs/>
          <w:color w:val="222222"/>
          <w:shd w:val="clear" w:color="auto" w:fill="FFFFFF"/>
        </w:rPr>
        <w:t>34</w:t>
      </w:r>
      <w:r w:rsidRPr="009026AB">
        <w:rPr>
          <w:color w:val="222222"/>
          <w:shd w:val="clear" w:color="auto" w:fill="FFFFFF"/>
        </w:rPr>
        <w:t>(10), 904-918.</w:t>
      </w:r>
    </w:p>
    <w:p w14:paraId="59C6AE23" w14:textId="0154FDB7" w:rsidR="006476BB" w:rsidRDefault="006476BB" w:rsidP="006476BB">
      <w:pPr>
        <w:pStyle w:val="NormalWeb"/>
        <w:spacing w:line="480" w:lineRule="auto"/>
        <w:ind w:left="720" w:hanging="720"/>
        <w:jc w:val="both"/>
      </w:pPr>
      <w:r w:rsidRPr="006476BB">
        <w:t xml:space="preserve">Institute for Health Metrics and Evaluation (IHME). </w:t>
      </w:r>
      <w:r w:rsidRPr="006476BB">
        <w:rPr>
          <w:b/>
          <w:bCs/>
        </w:rPr>
        <w:t>GBD Compare</w:t>
      </w:r>
      <w:r w:rsidRPr="006476BB">
        <w:t>. Seattle, WA: IHME, University of Washington, 20</w:t>
      </w:r>
      <w:r>
        <w:t>21</w:t>
      </w:r>
      <w:r w:rsidRPr="006476BB">
        <w:t xml:space="preserve">. Available from </w:t>
      </w:r>
      <w:r w:rsidRPr="006476BB">
        <w:rPr>
          <w:color w:val="54AD51"/>
        </w:rPr>
        <w:t>http://vizhub.healthdata.org/gbd-compare</w:t>
      </w:r>
      <w:r w:rsidRPr="006476BB">
        <w:rPr>
          <w:color w:val="494C4F"/>
        </w:rPr>
        <w:t xml:space="preserve">. </w:t>
      </w:r>
      <w:r w:rsidRPr="006476BB">
        <w:t xml:space="preserve">(Accessed </w:t>
      </w:r>
      <w:r>
        <w:t xml:space="preserve">December 2, 2021). </w:t>
      </w:r>
      <w:r w:rsidRPr="006476BB">
        <w:t xml:space="preserve"> </w:t>
      </w:r>
    </w:p>
    <w:p w14:paraId="5CC8226E" w14:textId="37465EA3" w:rsidR="005A0B84" w:rsidRDefault="005A0B84" w:rsidP="005A0B84">
      <w:pPr>
        <w:spacing w:line="480" w:lineRule="auto"/>
        <w:ind w:left="720" w:hanging="720"/>
      </w:pPr>
      <w:proofErr w:type="spellStart"/>
      <w:r w:rsidRPr="005A0B84">
        <w:rPr>
          <w:color w:val="222222"/>
          <w:shd w:val="clear" w:color="auto" w:fill="FFFFFF"/>
        </w:rPr>
        <w:lastRenderedPageBreak/>
        <w:t>Joob</w:t>
      </w:r>
      <w:proofErr w:type="spellEnd"/>
      <w:r w:rsidRPr="005A0B84">
        <w:rPr>
          <w:color w:val="222222"/>
          <w:shd w:val="clear" w:color="auto" w:fill="FFFFFF"/>
        </w:rPr>
        <w:t xml:space="preserve">, B., &amp; </w:t>
      </w:r>
      <w:proofErr w:type="spellStart"/>
      <w:r w:rsidRPr="005A0B84">
        <w:rPr>
          <w:color w:val="222222"/>
          <w:shd w:val="clear" w:color="auto" w:fill="FFFFFF"/>
        </w:rPr>
        <w:t>Wiwanitkit</w:t>
      </w:r>
      <w:proofErr w:type="spellEnd"/>
      <w:r w:rsidRPr="005A0B84">
        <w:rPr>
          <w:color w:val="222222"/>
          <w:shd w:val="clear" w:color="auto" w:fill="FFFFFF"/>
        </w:rPr>
        <w:t>, V. (2018). Cost and effectiveness of dengue vaccine: A report from endemic area, Thailand. </w:t>
      </w:r>
      <w:r w:rsidRPr="005A0B84">
        <w:rPr>
          <w:i/>
          <w:iCs/>
          <w:color w:val="222222"/>
          <w:shd w:val="clear" w:color="auto" w:fill="FFFFFF"/>
        </w:rPr>
        <w:t>Journal of Medical Society</w:t>
      </w:r>
      <w:r w:rsidRPr="005A0B84">
        <w:rPr>
          <w:color w:val="222222"/>
          <w:shd w:val="clear" w:color="auto" w:fill="FFFFFF"/>
        </w:rPr>
        <w:t>, </w:t>
      </w:r>
      <w:r w:rsidRPr="005A0B84">
        <w:rPr>
          <w:i/>
          <w:iCs/>
          <w:color w:val="222222"/>
          <w:shd w:val="clear" w:color="auto" w:fill="FFFFFF"/>
        </w:rPr>
        <w:t>32</w:t>
      </w:r>
      <w:r w:rsidRPr="005A0B84">
        <w:rPr>
          <w:color w:val="222222"/>
          <w:shd w:val="clear" w:color="auto" w:fill="FFFFFF"/>
        </w:rPr>
        <w:t>(2), 163-163.</w:t>
      </w:r>
    </w:p>
    <w:p w14:paraId="4A5F9D04" w14:textId="0B44D660" w:rsidR="006476BB" w:rsidRPr="006476BB" w:rsidRDefault="006476BB" w:rsidP="006476BB">
      <w:pPr>
        <w:pStyle w:val="NormalWeb"/>
        <w:spacing w:line="480" w:lineRule="auto"/>
        <w:ind w:left="720" w:hanging="720"/>
        <w:jc w:val="both"/>
      </w:pPr>
      <w:proofErr w:type="spellStart"/>
      <w:r>
        <w:t>Knoema</w:t>
      </w:r>
      <w:proofErr w:type="spellEnd"/>
      <w:r>
        <w:t xml:space="preserve">, World Data Atlas. (2016). </w:t>
      </w:r>
      <w:r>
        <w:rPr>
          <w:i/>
          <w:iCs/>
        </w:rPr>
        <w:t>Healthy life expectancy (HALE) at birth, both sexes (years).</w:t>
      </w:r>
      <w:r>
        <w:t xml:space="preserve"> Retrieved from </w:t>
      </w:r>
      <w:hyperlink r:id="rId9" w:history="1">
        <w:r w:rsidRPr="009023D9">
          <w:rPr>
            <w:rStyle w:val="Hyperlink"/>
          </w:rPr>
          <w:t>https://public.knoema.com/pzmykld/world-environment-situation-database?country=1001700&amp;indicator=1005700&amp;measure=1001750&amp;frequency=A</w:t>
        </w:r>
      </w:hyperlink>
      <w:r>
        <w:t xml:space="preserve"> and </w:t>
      </w:r>
      <w:hyperlink r:id="rId10" w:history="1">
        <w:r w:rsidRPr="009023D9">
          <w:rPr>
            <w:rStyle w:val="Hyperlink"/>
          </w:rPr>
          <w:t>https://public.knoema.com/vehfhxc/quality-of-government-institute-standard-dataset-version-january-2021?country=1000800&amp;variable=1005600&amp;frequency=A</w:t>
        </w:r>
      </w:hyperlink>
    </w:p>
    <w:p w14:paraId="2639E26F" w14:textId="641020C9" w:rsidR="002802CF" w:rsidRDefault="002802CF" w:rsidP="006476BB">
      <w:pPr>
        <w:pStyle w:val="NormalWeb"/>
        <w:spacing w:line="480" w:lineRule="auto"/>
        <w:ind w:left="720" w:hanging="720"/>
        <w:jc w:val="both"/>
        <w:rPr>
          <w:color w:val="222222"/>
          <w:shd w:val="clear" w:color="auto" w:fill="FFFFFF"/>
        </w:rPr>
      </w:pPr>
      <w:proofErr w:type="spellStart"/>
      <w:r w:rsidRPr="009026AB">
        <w:rPr>
          <w:color w:val="222222"/>
          <w:shd w:val="clear" w:color="auto" w:fill="FFFFFF"/>
        </w:rPr>
        <w:t>Laydon</w:t>
      </w:r>
      <w:proofErr w:type="spellEnd"/>
      <w:r w:rsidRPr="009026AB">
        <w:rPr>
          <w:color w:val="222222"/>
          <w:shd w:val="clear" w:color="auto" w:fill="FFFFFF"/>
        </w:rPr>
        <w:t xml:space="preserve">, D. J., </w:t>
      </w:r>
      <w:proofErr w:type="spellStart"/>
      <w:r w:rsidRPr="009026AB">
        <w:rPr>
          <w:color w:val="222222"/>
          <w:shd w:val="clear" w:color="auto" w:fill="FFFFFF"/>
        </w:rPr>
        <w:t>Dorigatti</w:t>
      </w:r>
      <w:proofErr w:type="spellEnd"/>
      <w:r w:rsidRPr="009026AB">
        <w:rPr>
          <w:color w:val="222222"/>
          <w:shd w:val="clear" w:color="auto" w:fill="FFFFFF"/>
        </w:rPr>
        <w:t xml:space="preserve">, I., </w:t>
      </w:r>
      <w:proofErr w:type="spellStart"/>
      <w:r w:rsidRPr="009026AB">
        <w:rPr>
          <w:color w:val="222222"/>
          <w:shd w:val="clear" w:color="auto" w:fill="FFFFFF"/>
        </w:rPr>
        <w:t>Hinsley</w:t>
      </w:r>
      <w:proofErr w:type="spellEnd"/>
      <w:r w:rsidRPr="009026AB">
        <w:rPr>
          <w:color w:val="222222"/>
          <w:shd w:val="clear" w:color="auto" w:fill="FFFFFF"/>
        </w:rPr>
        <w:t xml:space="preserve">, W. R., </w:t>
      </w:r>
      <w:proofErr w:type="spellStart"/>
      <w:r w:rsidRPr="009026AB">
        <w:rPr>
          <w:color w:val="222222"/>
          <w:shd w:val="clear" w:color="auto" w:fill="FFFFFF"/>
        </w:rPr>
        <w:t>Nedjati</w:t>
      </w:r>
      <w:proofErr w:type="spellEnd"/>
      <w:r w:rsidRPr="009026AB">
        <w:rPr>
          <w:color w:val="222222"/>
          <w:shd w:val="clear" w:color="auto" w:fill="FFFFFF"/>
        </w:rPr>
        <w:t xml:space="preserve">-Gilani, G., </w:t>
      </w:r>
      <w:proofErr w:type="spellStart"/>
      <w:r w:rsidRPr="009026AB">
        <w:rPr>
          <w:color w:val="222222"/>
          <w:shd w:val="clear" w:color="auto" w:fill="FFFFFF"/>
        </w:rPr>
        <w:t>Coudeville</w:t>
      </w:r>
      <w:proofErr w:type="spellEnd"/>
      <w:r w:rsidRPr="009026AB">
        <w:rPr>
          <w:color w:val="222222"/>
          <w:shd w:val="clear" w:color="auto" w:fill="FFFFFF"/>
        </w:rPr>
        <w:t>, L., &amp; Ferguson, N. M. (2021). Efficacy profile of the CYD-TDV dengue vaccine revealed by Bayesian survival analysis of individual-level phase III data. </w:t>
      </w:r>
      <w:proofErr w:type="spellStart"/>
      <w:r w:rsidRPr="009026AB">
        <w:rPr>
          <w:i/>
          <w:iCs/>
          <w:color w:val="222222"/>
          <w:shd w:val="clear" w:color="auto" w:fill="FFFFFF"/>
        </w:rPr>
        <w:t>Elife</w:t>
      </w:r>
      <w:proofErr w:type="spellEnd"/>
      <w:r w:rsidRPr="009026AB">
        <w:rPr>
          <w:color w:val="222222"/>
          <w:shd w:val="clear" w:color="auto" w:fill="FFFFFF"/>
        </w:rPr>
        <w:t>, </w:t>
      </w:r>
      <w:r w:rsidRPr="009026AB">
        <w:rPr>
          <w:i/>
          <w:iCs/>
          <w:color w:val="222222"/>
          <w:shd w:val="clear" w:color="auto" w:fill="FFFFFF"/>
        </w:rPr>
        <w:t>10</w:t>
      </w:r>
      <w:r w:rsidRPr="009026AB">
        <w:rPr>
          <w:color w:val="222222"/>
          <w:shd w:val="clear" w:color="auto" w:fill="FFFFFF"/>
        </w:rPr>
        <w:t>, e65131.</w:t>
      </w:r>
    </w:p>
    <w:p w14:paraId="66E008E8" w14:textId="42603FE5" w:rsidR="00FA2ADA" w:rsidRDefault="00FA2ADA" w:rsidP="00473322">
      <w:pPr>
        <w:pStyle w:val="NormalWeb"/>
        <w:spacing w:line="480" w:lineRule="auto"/>
        <w:ind w:left="720" w:hanging="720"/>
        <w:jc w:val="both"/>
        <w:rPr>
          <w:color w:val="222222"/>
          <w:shd w:val="clear" w:color="auto" w:fill="FFFFFF"/>
        </w:rPr>
      </w:pPr>
      <w:r>
        <w:rPr>
          <w:color w:val="222222"/>
          <w:shd w:val="clear" w:color="auto" w:fill="FFFFFF"/>
        </w:rPr>
        <w:t>Salary</w:t>
      </w:r>
      <w:r w:rsidR="000263FB">
        <w:rPr>
          <w:color w:val="222222"/>
          <w:shd w:val="clear" w:color="auto" w:fill="FFFFFF"/>
        </w:rPr>
        <w:t xml:space="preserve"> </w:t>
      </w:r>
      <w:r>
        <w:rPr>
          <w:color w:val="222222"/>
          <w:shd w:val="clear" w:color="auto" w:fill="FFFFFF"/>
        </w:rPr>
        <w:t>Explorer (</w:t>
      </w:r>
      <w:r w:rsidR="000263FB">
        <w:rPr>
          <w:color w:val="222222"/>
          <w:shd w:val="clear" w:color="auto" w:fill="FFFFFF"/>
        </w:rPr>
        <w:t>2021). Health and Medical Average Sa</w:t>
      </w:r>
      <w:r w:rsidR="00836918">
        <w:rPr>
          <w:color w:val="222222"/>
          <w:shd w:val="clear" w:color="auto" w:fill="FFFFFF"/>
        </w:rPr>
        <w:t>l</w:t>
      </w:r>
      <w:r w:rsidR="000263FB">
        <w:rPr>
          <w:color w:val="222222"/>
          <w:shd w:val="clear" w:color="auto" w:fill="FFFFFF"/>
        </w:rPr>
        <w:t>aries in Thailand 2021</w:t>
      </w:r>
      <w:r w:rsidR="00836918">
        <w:rPr>
          <w:color w:val="222222"/>
          <w:shd w:val="clear" w:color="auto" w:fill="FFFFFF"/>
        </w:rPr>
        <w:t xml:space="preserve">. </w:t>
      </w:r>
      <w:r w:rsidR="00AF6451">
        <w:rPr>
          <w:color w:val="222222"/>
          <w:shd w:val="clear" w:color="auto" w:fill="FFFFFF"/>
        </w:rPr>
        <w:t xml:space="preserve">The Complete Guide. Retrieved from </w:t>
      </w:r>
      <w:r w:rsidR="00AF6451">
        <w:rPr>
          <w:color w:val="222222"/>
          <w:shd w:val="clear" w:color="auto" w:fill="FFFFFF"/>
        </w:rPr>
        <w:fldChar w:fldCharType="begin"/>
      </w:r>
      <w:r w:rsidR="00AF6451">
        <w:rPr>
          <w:color w:val="222222"/>
          <w:shd w:val="clear" w:color="auto" w:fill="FFFFFF"/>
        </w:rPr>
        <w:instrText xml:space="preserve"> HYPERLINK "</w:instrText>
      </w:r>
      <w:r w:rsidR="00AF6451" w:rsidRPr="00AF6451">
        <w:rPr>
          <w:color w:val="222222"/>
          <w:shd w:val="clear" w:color="auto" w:fill="FFFFFF"/>
        </w:rPr>
        <w:instrText>http://www.salaryexplorer.com/salary-survey.php?loc=215&amp;loctype=1&amp;job=2&amp;jobtype=1</w:instrText>
      </w:r>
      <w:r w:rsidR="00AF6451">
        <w:rPr>
          <w:color w:val="222222"/>
          <w:shd w:val="clear" w:color="auto" w:fill="FFFFFF"/>
        </w:rPr>
        <w:instrText xml:space="preserve">" </w:instrText>
      </w:r>
      <w:r w:rsidR="00AF6451">
        <w:rPr>
          <w:color w:val="222222"/>
          <w:shd w:val="clear" w:color="auto" w:fill="FFFFFF"/>
        </w:rPr>
        <w:fldChar w:fldCharType="separate"/>
      </w:r>
      <w:r w:rsidR="00AF6451" w:rsidRPr="00A27DE8">
        <w:rPr>
          <w:rStyle w:val="Hyperlink"/>
          <w:shd w:val="clear" w:color="auto" w:fill="FFFFFF"/>
        </w:rPr>
        <w:t>http://www.salaryexplorer.com/salary-survey.php?loc=215&amp;loctype=1&amp;job=2&amp;jobtype=</w:t>
      </w:r>
      <w:r w:rsidR="00AF6451" w:rsidRPr="00A27DE8">
        <w:rPr>
          <w:rStyle w:val="Hyperlink"/>
          <w:shd w:val="clear" w:color="auto" w:fill="FFFFFF"/>
        </w:rPr>
        <w:t>1</w:t>
      </w:r>
      <w:r w:rsidR="00AF6451">
        <w:rPr>
          <w:color w:val="222222"/>
          <w:shd w:val="clear" w:color="auto" w:fill="FFFFFF"/>
        </w:rPr>
        <w:fldChar w:fldCharType="end"/>
      </w:r>
    </w:p>
    <w:p w14:paraId="57BC1F8D" w14:textId="77777777" w:rsidR="00B611E2" w:rsidRDefault="00450F7F" w:rsidP="00B611E2">
      <w:pPr>
        <w:pStyle w:val="NormalWeb"/>
        <w:spacing w:line="480" w:lineRule="auto"/>
        <w:ind w:left="720" w:hanging="720"/>
        <w:jc w:val="both"/>
        <w:rPr>
          <w:color w:val="222222"/>
          <w:shd w:val="clear" w:color="auto" w:fill="FFFFFF"/>
        </w:rPr>
      </w:pPr>
      <w:r>
        <w:rPr>
          <w:color w:val="222222"/>
          <w:shd w:val="clear" w:color="auto" w:fill="FFFFFF"/>
        </w:rPr>
        <w:t xml:space="preserve">Salary Explorer (2021). Health and Medical Average Salaries in </w:t>
      </w:r>
      <w:r>
        <w:rPr>
          <w:color w:val="222222"/>
          <w:shd w:val="clear" w:color="auto" w:fill="FFFFFF"/>
        </w:rPr>
        <w:t>Indonesia</w:t>
      </w:r>
      <w:r>
        <w:rPr>
          <w:color w:val="222222"/>
          <w:shd w:val="clear" w:color="auto" w:fill="FFFFFF"/>
        </w:rPr>
        <w:t xml:space="preserve"> 2021. The Complete Guide. Retrieved from</w:t>
      </w:r>
      <w:r w:rsidR="00B611E2">
        <w:rPr>
          <w:color w:val="222222"/>
          <w:shd w:val="clear" w:color="auto" w:fill="FFFFFF"/>
        </w:rPr>
        <w:t xml:space="preserve"> </w:t>
      </w:r>
      <w:hyperlink r:id="rId11" w:history="1">
        <w:r w:rsidR="00B611E2" w:rsidRPr="00A27DE8">
          <w:rPr>
            <w:rStyle w:val="Hyperlink"/>
            <w:shd w:val="clear" w:color="auto" w:fill="FFFFFF"/>
          </w:rPr>
          <w:t>http://www.salaryexplorer.com/salary-survey.php?loc=101&amp;loctype=1&amp;job=2&amp;jobtype=1</w:t>
        </w:r>
      </w:hyperlink>
    </w:p>
    <w:p w14:paraId="19FD66F7" w14:textId="1FD8B59E" w:rsidR="00FD5034" w:rsidRPr="00B611E2" w:rsidRDefault="00FD5034" w:rsidP="00B611E2">
      <w:pPr>
        <w:pStyle w:val="NormalWeb"/>
        <w:spacing w:line="480" w:lineRule="auto"/>
        <w:ind w:left="720" w:hanging="720"/>
        <w:jc w:val="both"/>
        <w:rPr>
          <w:color w:val="222222"/>
          <w:shd w:val="clear" w:color="auto" w:fill="FFFFFF"/>
        </w:rPr>
      </w:pPr>
      <w:r w:rsidRPr="009026AB">
        <w:rPr>
          <w:color w:val="222222"/>
          <w:shd w:val="clear" w:color="auto" w:fill="FFFFFF"/>
        </w:rPr>
        <w:t xml:space="preserve">Salomon, J. A., </w:t>
      </w:r>
      <w:proofErr w:type="spellStart"/>
      <w:r w:rsidRPr="009026AB">
        <w:rPr>
          <w:color w:val="222222"/>
          <w:shd w:val="clear" w:color="auto" w:fill="FFFFFF"/>
        </w:rPr>
        <w:t>Haagsma</w:t>
      </w:r>
      <w:proofErr w:type="spellEnd"/>
      <w:r w:rsidRPr="009026AB">
        <w:rPr>
          <w:color w:val="222222"/>
          <w:shd w:val="clear" w:color="auto" w:fill="FFFFFF"/>
        </w:rPr>
        <w:t xml:space="preserve">, J. A., Davis, A., de </w:t>
      </w:r>
      <w:proofErr w:type="spellStart"/>
      <w:r w:rsidRPr="009026AB">
        <w:rPr>
          <w:color w:val="222222"/>
          <w:shd w:val="clear" w:color="auto" w:fill="FFFFFF"/>
        </w:rPr>
        <w:t>Noordhout</w:t>
      </w:r>
      <w:proofErr w:type="spellEnd"/>
      <w:r w:rsidRPr="009026AB">
        <w:rPr>
          <w:color w:val="222222"/>
          <w:shd w:val="clear" w:color="auto" w:fill="FFFFFF"/>
        </w:rPr>
        <w:t xml:space="preserve">, C. M., </w:t>
      </w:r>
      <w:proofErr w:type="spellStart"/>
      <w:r w:rsidRPr="009026AB">
        <w:rPr>
          <w:color w:val="222222"/>
          <w:shd w:val="clear" w:color="auto" w:fill="FFFFFF"/>
        </w:rPr>
        <w:t>Polinder</w:t>
      </w:r>
      <w:proofErr w:type="spellEnd"/>
      <w:r w:rsidRPr="009026AB">
        <w:rPr>
          <w:color w:val="222222"/>
          <w:shd w:val="clear" w:color="auto" w:fill="FFFFFF"/>
        </w:rPr>
        <w:t xml:space="preserve">, S., </w:t>
      </w:r>
      <w:proofErr w:type="spellStart"/>
      <w:r w:rsidRPr="009026AB">
        <w:rPr>
          <w:color w:val="222222"/>
          <w:shd w:val="clear" w:color="auto" w:fill="FFFFFF"/>
        </w:rPr>
        <w:t>Havelaar</w:t>
      </w:r>
      <w:proofErr w:type="spellEnd"/>
      <w:r w:rsidRPr="009026AB">
        <w:rPr>
          <w:color w:val="222222"/>
          <w:shd w:val="clear" w:color="auto" w:fill="FFFFFF"/>
        </w:rPr>
        <w:t>, A. H., ... &amp; Vos, T. (2015). Disability weights for the Global Burden of Disease 2013 study. </w:t>
      </w:r>
      <w:r w:rsidRPr="009026AB">
        <w:rPr>
          <w:i/>
          <w:iCs/>
          <w:color w:val="222222"/>
          <w:shd w:val="clear" w:color="auto" w:fill="FFFFFF"/>
        </w:rPr>
        <w:t>The Lancet Global Health</w:t>
      </w:r>
      <w:r w:rsidRPr="009026AB">
        <w:rPr>
          <w:color w:val="222222"/>
          <w:shd w:val="clear" w:color="auto" w:fill="FFFFFF"/>
        </w:rPr>
        <w:t>, </w:t>
      </w:r>
      <w:r w:rsidRPr="009026AB">
        <w:rPr>
          <w:i/>
          <w:iCs/>
          <w:color w:val="222222"/>
          <w:shd w:val="clear" w:color="auto" w:fill="FFFFFF"/>
        </w:rPr>
        <w:t>3</w:t>
      </w:r>
      <w:r w:rsidRPr="009026AB">
        <w:rPr>
          <w:color w:val="222222"/>
          <w:shd w:val="clear" w:color="auto" w:fill="FFFFFF"/>
        </w:rPr>
        <w:t>(11), e712-e723.</w:t>
      </w:r>
    </w:p>
    <w:p w14:paraId="110CE19D" w14:textId="2B542A7C" w:rsidR="00FD5034" w:rsidRPr="009026AB" w:rsidRDefault="00FD5034" w:rsidP="009026AB">
      <w:pPr>
        <w:spacing w:line="480" w:lineRule="auto"/>
        <w:ind w:left="720" w:hanging="720"/>
        <w:jc w:val="both"/>
      </w:pPr>
      <w:proofErr w:type="spellStart"/>
      <w:r w:rsidRPr="009026AB">
        <w:rPr>
          <w:color w:val="222222"/>
          <w:shd w:val="clear" w:color="auto" w:fill="FFFFFF"/>
        </w:rPr>
        <w:lastRenderedPageBreak/>
        <w:t>Stanaway</w:t>
      </w:r>
      <w:proofErr w:type="spellEnd"/>
      <w:r w:rsidRPr="009026AB">
        <w:rPr>
          <w:color w:val="222222"/>
          <w:shd w:val="clear" w:color="auto" w:fill="FFFFFF"/>
        </w:rPr>
        <w:t xml:space="preserve">, J. D., Shepard, D. S., </w:t>
      </w:r>
      <w:proofErr w:type="spellStart"/>
      <w:r w:rsidRPr="009026AB">
        <w:rPr>
          <w:color w:val="222222"/>
          <w:shd w:val="clear" w:color="auto" w:fill="FFFFFF"/>
        </w:rPr>
        <w:t>Undurraga</w:t>
      </w:r>
      <w:proofErr w:type="spellEnd"/>
      <w:r w:rsidRPr="009026AB">
        <w:rPr>
          <w:color w:val="222222"/>
          <w:shd w:val="clear" w:color="auto" w:fill="FFFFFF"/>
        </w:rPr>
        <w:t xml:space="preserve">, E. A., </w:t>
      </w:r>
      <w:proofErr w:type="spellStart"/>
      <w:r w:rsidRPr="009026AB">
        <w:rPr>
          <w:color w:val="222222"/>
          <w:shd w:val="clear" w:color="auto" w:fill="FFFFFF"/>
        </w:rPr>
        <w:t>Halasa</w:t>
      </w:r>
      <w:proofErr w:type="spellEnd"/>
      <w:r w:rsidRPr="009026AB">
        <w:rPr>
          <w:color w:val="222222"/>
          <w:shd w:val="clear" w:color="auto" w:fill="FFFFFF"/>
        </w:rPr>
        <w:t xml:space="preserve">, Y. A., </w:t>
      </w:r>
      <w:proofErr w:type="spellStart"/>
      <w:r w:rsidRPr="009026AB">
        <w:rPr>
          <w:color w:val="222222"/>
          <w:shd w:val="clear" w:color="auto" w:fill="FFFFFF"/>
        </w:rPr>
        <w:t>Coffeng</w:t>
      </w:r>
      <w:proofErr w:type="spellEnd"/>
      <w:r w:rsidRPr="009026AB">
        <w:rPr>
          <w:color w:val="222222"/>
          <w:shd w:val="clear" w:color="auto" w:fill="FFFFFF"/>
        </w:rPr>
        <w:t>, L. E., Brady, O. J., ... &amp; Murray, C. J. (2016). The global burden of dengue: an analysis from the Global Burden of Disease Study 2013. </w:t>
      </w:r>
      <w:r w:rsidRPr="009026AB">
        <w:rPr>
          <w:i/>
          <w:iCs/>
          <w:color w:val="222222"/>
          <w:shd w:val="clear" w:color="auto" w:fill="FFFFFF"/>
        </w:rPr>
        <w:t>The Lancet infectious diseases</w:t>
      </w:r>
      <w:r w:rsidRPr="009026AB">
        <w:rPr>
          <w:color w:val="222222"/>
          <w:shd w:val="clear" w:color="auto" w:fill="FFFFFF"/>
        </w:rPr>
        <w:t>, </w:t>
      </w:r>
      <w:r w:rsidRPr="009026AB">
        <w:rPr>
          <w:i/>
          <w:iCs/>
          <w:color w:val="222222"/>
          <w:shd w:val="clear" w:color="auto" w:fill="FFFFFF"/>
        </w:rPr>
        <w:t>16</w:t>
      </w:r>
      <w:r w:rsidRPr="009026AB">
        <w:rPr>
          <w:color w:val="222222"/>
          <w:shd w:val="clear" w:color="auto" w:fill="FFFFFF"/>
        </w:rPr>
        <w:t>(6), 712-723.</w:t>
      </w:r>
    </w:p>
    <w:p w14:paraId="63D2A39D" w14:textId="56EEAE90" w:rsidR="002802CF" w:rsidRPr="009026AB" w:rsidRDefault="002802CF" w:rsidP="009026AB">
      <w:pPr>
        <w:spacing w:line="480" w:lineRule="auto"/>
        <w:ind w:left="720" w:hanging="720"/>
        <w:jc w:val="both"/>
      </w:pPr>
      <w:proofErr w:type="spellStart"/>
      <w:r w:rsidRPr="009026AB">
        <w:rPr>
          <w:color w:val="222222"/>
          <w:shd w:val="clear" w:color="auto" w:fill="FFFFFF"/>
        </w:rPr>
        <w:t>Suwantika</w:t>
      </w:r>
      <w:proofErr w:type="spellEnd"/>
      <w:r w:rsidRPr="009026AB">
        <w:rPr>
          <w:color w:val="222222"/>
          <w:shd w:val="clear" w:color="auto" w:fill="FFFFFF"/>
        </w:rPr>
        <w:t xml:space="preserve">, A. A., </w:t>
      </w:r>
      <w:proofErr w:type="spellStart"/>
      <w:r w:rsidRPr="009026AB">
        <w:rPr>
          <w:color w:val="222222"/>
          <w:shd w:val="clear" w:color="auto" w:fill="FFFFFF"/>
        </w:rPr>
        <w:t>Supadmi</w:t>
      </w:r>
      <w:proofErr w:type="spellEnd"/>
      <w:r w:rsidRPr="009026AB">
        <w:rPr>
          <w:color w:val="222222"/>
          <w:shd w:val="clear" w:color="auto" w:fill="FFFFFF"/>
        </w:rPr>
        <w:t xml:space="preserve">, W., Ali, M., &amp; </w:t>
      </w:r>
      <w:proofErr w:type="spellStart"/>
      <w:r w:rsidRPr="009026AB">
        <w:rPr>
          <w:color w:val="222222"/>
          <w:shd w:val="clear" w:color="auto" w:fill="FFFFFF"/>
        </w:rPr>
        <w:t>Abdulah</w:t>
      </w:r>
      <w:proofErr w:type="spellEnd"/>
      <w:r w:rsidRPr="009026AB">
        <w:rPr>
          <w:color w:val="222222"/>
          <w:shd w:val="clear" w:color="auto" w:fill="FFFFFF"/>
        </w:rPr>
        <w:t>, R. (2021). Cost-effectiveness and budget impact analyses of dengue vaccination in Indonesia. </w:t>
      </w:r>
      <w:proofErr w:type="spellStart"/>
      <w:r w:rsidRPr="009026AB">
        <w:rPr>
          <w:i/>
          <w:iCs/>
          <w:color w:val="222222"/>
          <w:shd w:val="clear" w:color="auto" w:fill="FFFFFF"/>
        </w:rPr>
        <w:t>PLoS</w:t>
      </w:r>
      <w:proofErr w:type="spellEnd"/>
      <w:r w:rsidRPr="009026AB">
        <w:rPr>
          <w:i/>
          <w:iCs/>
          <w:color w:val="222222"/>
          <w:shd w:val="clear" w:color="auto" w:fill="FFFFFF"/>
        </w:rPr>
        <w:t xml:space="preserve"> neglected tropical diseases</w:t>
      </w:r>
      <w:r w:rsidRPr="009026AB">
        <w:rPr>
          <w:color w:val="222222"/>
          <w:shd w:val="clear" w:color="auto" w:fill="FFFFFF"/>
        </w:rPr>
        <w:t>, </w:t>
      </w:r>
      <w:r w:rsidRPr="009026AB">
        <w:rPr>
          <w:i/>
          <w:iCs/>
          <w:color w:val="222222"/>
          <w:shd w:val="clear" w:color="auto" w:fill="FFFFFF"/>
        </w:rPr>
        <w:t>15</w:t>
      </w:r>
      <w:r w:rsidRPr="009026AB">
        <w:rPr>
          <w:color w:val="222222"/>
          <w:shd w:val="clear" w:color="auto" w:fill="FFFFFF"/>
        </w:rPr>
        <w:t>(8), e0009664.</w:t>
      </w:r>
    </w:p>
    <w:p w14:paraId="03B40020" w14:textId="1DABAA26" w:rsidR="002855B3" w:rsidRPr="009026AB" w:rsidRDefault="002855B3" w:rsidP="009026AB">
      <w:pPr>
        <w:spacing w:line="480" w:lineRule="auto"/>
        <w:ind w:left="720" w:hanging="720"/>
        <w:jc w:val="both"/>
      </w:pPr>
      <w:proofErr w:type="spellStart"/>
      <w:r w:rsidRPr="009026AB">
        <w:rPr>
          <w:color w:val="222222"/>
          <w:shd w:val="clear" w:color="auto" w:fill="FFFFFF"/>
        </w:rPr>
        <w:t>Tiga</w:t>
      </w:r>
      <w:proofErr w:type="spellEnd"/>
      <w:r w:rsidRPr="009026AB">
        <w:rPr>
          <w:color w:val="222222"/>
          <w:shd w:val="clear" w:color="auto" w:fill="FFFFFF"/>
        </w:rPr>
        <w:t xml:space="preserve"> </w:t>
      </w:r>
      <w:proofErr w:type="spellStart"/>
      <w:r w:rsidRPr="009026AB">
        <w:rPr>
          <w:color w:val="222222"/>
          <w:shd w:val="clear" w:color="auto" w:fill="FFFFFF"/>
        </w:rPr>
        <w:t>Loza</w:t>
      </w:r>
      <w:proofErr w:type="spellEnd"/>
      <w:r w:rsidRPr="009026AB">
        <w:rPr>
          <w:color w:val="222222"/>
          <w:shd w:val="clear" w:color="auto" w:fill="FFFFFF"/>
        </w:rPr>
        <w:t>, D. C., Villar Centeno, L. Á., &amp; Martínez Vega, R. A. (2011). Disability in dengue and its relationship to the severity. </w:t>
      </w:r>
      <w:proofErr w:type="spellStart"/>
      <w:r w:rsidRPr="009026AB">
        <w:rPr>
          <w:i/>
          <w:iCs/>
          <w:color w:val="222222"/>
          <w:shd w:val="clear" w:color="auto" w:fill="FFFFFF"/>
        </w:rPr>
        <w:t>Revista</w:t>
      </w:r>
      <w:proofErr w:type="spellEnd"/>
      <w:r w:rsidRPr="009026AB">
        <w:rPr>
          <w:i/>
          <w:iCs/>
          <w:color w:val="222222"/>
          <w:shd w:val="clear" w:color="auto" w:fill="FFFFFF"/>
        </w:rPr>
        <w:t xml:space="preserve"> de la Universidad Industrial de Santander. </w:t>
      </w:r>
      <w:proofErr w:type="spellStart"/>
      <w:r w:rsidRPr="009026AB">
        <w:rPr>
          <w:i/>
          <w:iCs/>
          <w:color w:val="222222"/>
          <w:shd w:val="clear" w:color="auto" w:fill="FFFFFF"/>
        </w:rPr>
        <w:t>Salud</w:t>
      </w:r>
      <w:proofErr w:type="spellEnd"/>
      <w:r w:rsidRPr="009026AB">
        <w:rPr>
          <w:color w:val="222222"/>
          <w:shd w:val="clear" w:color="auto" w:fill="FFFFFF"/>
        </w:rPr>
        <w:t>, </w:t>
      </w:r>
      <w:r w:rsidRPr="009026AB">
        <w:rPr>
          <w:i/>
          <w:iCs/>
          <w:color w:val="222222"/>
          <w:shd w:val="clear" w:color="auto" w:fill="FFFFFF"/>
        </w:rPr>
        <w:t>43</w:t>
      </w:r>
      <w:r w:rsidRPr="009026AB">
        <w:rPr>
          <w:color w:val="222222"/>
          <w:shd w:val="clear" w:color="auto" w:fill="FFFFFF"/>
        </w:rPr>
        <w:t>(1), 49-55.</w:t>
      </w:r>
    </w:p>
    <w:p w14:paraId="500270F6" w14:textId="562F3248" w:rsidR="00F47B05" w:rsidRPr="007B5AF0" w:rsidRDefault="00F47B05" w:rsidP="007B5AF0">
      <w:pPr>
        <w:spacing w:line="480" w:lineRule="auto"/>
        <w:ind w:left="720" w:hanging="720"/>
        <w:jc w:val="both"/>
        <w:rPr>
          <w:color w:val="222222"/>
          <w:shd w:val="clear" w:color="auto" w:fill="FFFFFF"/>
        </w:rPr>
      </w:pPr>
      <w:r w:rsidRPr="009026AB">
        <w:rPr>
          <w:color w:val="222222"/>
          <w:shd w:val="clear" w:color="auto" w:fill="FFFFFF"/>
        </w:rPr>
        <w:t xml:space="preserve">Tozan, Y., </w:t>
      </w:r>
      <w:proofErr w:type="spellStart"/>
      <w:r w:rsidRPr="009026AB">
        <w:rPr>
          <w:color w:val="222222"/>
          <w:shd w:val="clear" w:color="auto" w:fill="FFFFFF"/>
        </w:rPr>
        <w:t>Ratanawong</w:t>
      </w:r>
      <w:proofErr w:type="spellEnd"/>
      <w:r w:rsidRPr="009026AB">
        <w:rPr>
          <w:color w:val="222222"/>
          <w:shd w:val="clear" w:color="auto" w:fill="FFFFFF"/>
        </w:rPr>
        <w:t xml:space="preserve">, P., Louis, V. R., </w:t>
      </w:r>
      <w:proofErr w:type="spellStart"/>
      <w:r w:rsidRPr="009026AB">
        <w:rPr>
          <w:color w:val="222222"/>
          <w:shd w:val="clear" w:color="auto" w:fill="FFFFFF"/>
        </w:rPr>
        <w:t>Kittayapong</w:t>
      </w:r>
      <w:proofErr w:type="spellEnd"/>
      <w:r w:rsidRPr="009026AB">
        <w:rPr>
          <w:color w:val="222222"/>
          <w:shd w:val="clear" w:color="auto" w:fill="FFFFFF"/>
        </w:rPr>
        <w:t>, P., &amp; Wilder-Smith, A. (2014). Use of insecticide-treated school uniforms for prevention of dengue in schoolchildren: a cost-</w:t>
      </w:r>
      <w:r w:rsidRPr="007B5AF0">
        <w:rPr>
          <w:color w:val="222222"/>
          <w:shd w:val="clear" w:color="auto" w:fill="FFFFFF"/>
        </w:rPr>
        <w:t>effectiveness analysis. </w:t>
      </w:r>
      <w:r w:rsidRPr="007B5AF0">
        <w:rPr>
          <w:i/>
          <w:iCs/>
          <w:color w:val="222222"/>
          <w:shd w:val="clear" w:color="auto" w:fill="FFFFFF"/>
        </w:rPr>
        <w:t>PLOS one</w:t>
      </w:r>
      <w:r w:rsidRPr="007B5AF0">
        <w:rPr>
          <w:color w:val="222222"/>
          <w:shd w:val="clear" w:color="auto" w:fill="FFFFFF"/>
        </w:rPr>
        <w:t>, </w:t>
      </w:r>
      <w:r w:rsidRPr="007B5AF0">
        <w:rPr>
          <w:i/>
          <w:iCs/>
          <w:color w:val="222222"/>
          <w:shd w:val="clear" w:color="auto" w:fill="FFFFFF"/>
        </w:rPr>
        <w:t>9</w:t>
      </w:r>
      <w:r w:rsidRPr="007B5AF0">
        <w:rPr>
          <w:color w:val="222222"/>
          <w:shd w:val="clear" w:color="auto" w:fill="FFFFFF"/>
        </w:rPr>
        <w:t>(9), e108017.</w:t>
      </w:r>
    </w:p>
    <w:p w14:paraId="0F92ABE8" w14:textId="7EBAAF3E" w:rsidR="00E473AC" w:rsidRPr="00E473AC" w:rsidRDefault="007B5AF0" w:rsidP="00E473AC">
      <w:pPr>
        <w:spacing w:line="480" w:lineRule="auto"/>
        <w:ind w:left="720" w:hanging="720"/>
        <w:rPr>
          <w:color w:val="222222"/>
          <w:shd w:val="clear" w:color="auto" w:fill="FFFFFF"/>
        </w:rPr>
      </w:pPr>
      <w:proofErr w:type="spellStart"/>
      <w:r w:rsidRPr="007B5AF0">
        <w:rPr>
          <w:color w:val="222222"/>
          <w:shd w:val="clear" w:color="auto" w:fill="FFFFFF"/>
        </w:rPr>
        <w:t>Utarini</w:t>
      </w:r>
      <w:proofErr w:type="spellEnd"/>
      <w:r w:rsidRPr="007B5AF0">
        <w:rPr>
          <w:color w:val="222222"/>
          <w:shd w:val="clear" w:color="auto" w:fill="FFFFFF"/>
        </w:rPr>
        <w:t xml:space="preserve">, A., </w:t>
      </w:r>
      <w:proofErr w:type="spellStart"/>
      <w:r w:rsidRPr="007B5AF0">
        <w:rPr>
          <w:color w:val="222222"/>
          <w:shd w:val="clear" w:color="auto" w:fill="FFFFFF"/>
        </w:rPr>
        <w:t>Indriani</w:t>
      </w:r>
      <w:proofErr w:type="spellEnd"/>
      <w:r w:rsidRPr="007B5AF0">
        <w:rPr>
          <w:color w:val="222222"/>
          <w:shd w:val="clear" w:color="auto" w:fill="FFFFFF"/>
        </w:rPr>
        <w:t xml:space="preserve">, C., Ahmad, R. A., </w:t>
      </w:r>
      <w:proofErr w:type="spellStart"/>
      <w:r w:rsidRPr="007B5AF0">
        <w:rPr>
          <w:color w:val="222222"/>
          <w:shd w:val="clear" w:color="auto" w:fill="FFFFFF"/>
        </w:rPr>
        <w:t>Tantowijoyo</w:t>
      </w:r>
      <w:proofErr w:type="spellEnd"/>
      <w:r w:rsidRPr="007B5AF0">
        <w:rPr>
          <w:color w:val="222222"/>
          <w:shd w:val="clear" w:color="auto" w:fill="FFFFFF"/>
        </w:rPr>
        <w:t xml:space="preserve">, W., </w:t>
      </w:r>
      <w:proofErr w:type="spellStart"/>
      <w:r w:rsidRPr="007B5AF0">
        <w:rPr>
          <w:color w:val="222222"/>
          <w:shd w:val="clear" w:color="auto" w:fill="FFFFFF"/>
        </w:rPr>
        <w:t>Arguni</w:t>
      </w:r>
      <w:proofErr w:type="spellEnd"/>
      <w:r w:rsidRPr="007B5AF0">
        <w:rPr>
          <w:color w:val="222222"/>
          <w:shd w:val="clear" w:color="auto" w:fill="FFFFFF"/>
        </w:rPr>
        <w:t>, E., Ansari, M. R., ... &amp; Simmons, C. P. (2021). Efficacy of Wolbachia-infected mosquito deployments for the control of dengue. </w:t>
      </w:r>
      <w:r w:rsidRPr="007B5AF0">
        <w:rPr>
          <w:i/>
          <w:iCs/>
          <w:color w:val="222222"/>
          <w:shd w:val="clear" w:color="auto" w:fill="FFFFFF"/>
        </w:rPr>
        <w:t>New England Journal of Medicine</w:t>
      </w:r>
      <w:r w:rsidRPr="007B5AF0">
        <w:rPr>
          <w:color w:val="222222"/>
          <w:shd w:val="clear" w:color="auto" w:fill="FFFFFF"/>
        </w:rPr>
        <w:t>, </w:t>
      </w:r>
      <w:r w:rsidRPr="007B5AF0">
        <w:rPr>
          <w:i/>
          <w:iCs/>
          <w:color w:val="222222"/>
          <w:shd w:val="clear" w:color="auto" w:fill="FFFFFF"/>
        </w:rPr>
        <w:t>384</w:t>
      </w:r>
      <w:r w:rsidRPr="007B5AF0">
        <w:rPr>
          <w:color w:val="222222"/>
          <w:shd w:val="clear" w:color="auto" w:fill="FFFFFF"/>
        </w:rPr>
        <w:t>(23), 2177-2186.</w:t>
      </w:r>
    </w:p>
    <w:p w14:paraId="25D9F478" w14:textId="0BE351C0" w:rsidR="00F47B05" w:rsidRPr="009026AB" w:rsidRDefault="00F47B05" w:rsidP="009026AB">
      <w:pPr>
        <w:spacing w:line="480" w:lineRule="auto"/>
        <w:ind w:left="720" w:hanging="720"/>
        <w:jc w:val="both"/>
      </w:pPr>
      <w:r w:rsidRPr="009026AB">
        <w:rPr>
          <w:color w:val="222222"/>
          <w:shd w:val="clear" w:color="auto" w:fill="FFFFFF"/>
        </w:rPr>
        <w:t xml:space="preserve">Van den </w:t>
      </w:r>
      <w:proofErr w:type="spellStart"/>
      <w:r w:rsidRPr="009026AB">
        <w:rPr>
          <w:color w:val="222222"/>
          <w:shd w:val="clear" w:color="auto" w:fill="FFFFFF"/>
        </w:rPr>
        <w:t>Hurk</w:t>
      </w:r>
      <w:proofErr w:type="spellEnd"/>
      <w:r w:rsidRPr="009026AB">
        <w:rPr>
          <w:color w:val="222222"/>
          <w:shd w:val="clear" w:color="auto" w:fill="FFFFFF"/>
        </w:rPr>
        <w:t>, A. F., Hall-</w:t>
      </w:r>
      <w:proofErr w:type="spellStart"/>
      <w:r w:rsidRPr="009026AB">
        <w:rPr>
          <w:color w:val="222222"/>
          <w:shd w:val="clear" w:color="auto" w:fill="FFFFFF"/>
        </w:rPr>
        <w:t>Mendelin</w:t>
      </w:r>
      <w:proofErr w:type="spellEnd"/>
      <w:r w:rsidRPr="009026AB">
        <w:rPr>
          <w:color w:val="222222"/>
          <w:shd w:val="clear" w:color="auto" w:fill="FFFFFF"/>
        </w:rPr>
        <w:t xml:space="preserve">, S., Pyke, A. T., </w:t>
      </w:r>
      <w:proofErr w:type="spellStart"/>
      <w:r w:rsidRPr="009026AB">
        <w:rPr>
          <w:color w:val="222222"/>
          <w:shd w:val="clear" w:color="auto" w:fill="FFFFFF"/>
        </w:rPr>
        <w:t>Frentiu</w:t>
      </w:r>
      <w:proofErr w:type="spellEnd"/>
      <w:r w:rsidRPr="009026AB">
        <w:rPr>
          <w:color w:val="222222"/>
          <w:shd w:val="clear" w:color="auto" w:fill="FFFFFF"/>
        </w:rPr>
        <w:t>, F. D., McElroy, K., Day, A., ... &amp; O'Neill, S. L. (2012). Impact of Wolbachia on infection with chikungunya and yellow fever viruses in the mosquito vector Aedes aegypti. </w:t>
      </w:r>
      <w:proofErr w:type="spellStart"/>
      <w:r w:rsidRPr="009026AB">
        <w:rPr>
          <w:i/>
          <w:iCs/>
          <w:color w:val="222222"/>
          <w:shd w:val="clear" w:color="auto" w:fill="FFFFFF"/>
        </w:rPr>
        <w:t>PLoS</w:t>
      </w:r>
      <w:proofErr w:type="spellEnd"/>
      <w:r w:rsidRPr="009026AB">
        <w:rPr>
          <w:i/>
          <w:iCs/>
          <w:color w:val="222222"/>
          <w:shd w:val="clear" w:color="auto" w:fill="FFFFFF"/>
        </w:rPr>
        <w:t xml:space="preserve"> neglected tropical diseases</w:t>
      </w:r>
      <w:r w:rsidRPr="009026AB">
        <w:rPr>
          <w:color w:val="222222"/>
          <w:shd w:val="clear" w:color="auto" w:fill="FFFFFF"/>
        </w:rPr>
        <w:t>, </w:t>
      </w:r>
      <w:r w:rsidRPr="009026AB">
        <w:rPr>
          <w:i/>
          <w:iCs/>
          <w:color w:val="222222"/>
          <w:shd w:val="clear" w:color="auto" w:fill="FFFFFF"/>
        </w:rPr>
        <w:t>6</w:t>
      </w:r>
      <w:r w:rsidRPr="009026AB">
        <w:rPr>
          <w:color w:val="222222"/>
          <w:shd w:val="clear" w:color="auto" w:fill="FFFFFF"/>
        </w:rPr>
        <w:t>(11), e1892.</w:t>
      </w:r>
    </w:p>
    <w:p w14:paraId="13E664B5" w14:textId="2AC3F896" w:rsidR="00F47B05" w:rsidRPr="009026AB" w:rsidRDefault="00F47B05" w:rsidP="009026AB">
      <w:pPr>
        <w:spacing w:line="480" w:lineRule="auto"/>
        <w:ind w:left="720" w:hanging="720"/>
        <w:jc w:val="both"/>
      </w:pPr>
      <w:r w:rsidRPr="009026AB">
        <w:rPr>
          <w:color w:val="222222"/>
          <w:shd w:val="clear" w:color="auto" w:fill="FFFFFF"/>
        </w:rPr>
        <w:t xml:space="preserve">Walker, T. J. P. H., Johnson, P. H., Moreira, L. A., </w:t>
      </w:r>
      <w:proofErr w:type="spellStart"/>
      <w:r w:rsidRPr="009026AB">
        <w:rPr>
          <w:color w:val="222222"/>
          <w:shd w:val="clear" w:color="auto" w:fill="FFFFFF"/>
        </w:rPr>
        <w:t>Iturbe-Ormaetxe</w:t>
      </w:r>
      <w:proofErr w:type="spellEnd"/>
      <w:r w:rsidRPr="009026AB">
        <w:rPr>
          <w:color w:val="222222"/>
          <w:shd w:val="clear" w:color="auto" w:fill="FFFFFF"/>
        </w:rPr>
        <w:t xml:space="preserve">, I., </w:t>
      </w:r>
      <w:proofErr w:type="spellStart"/>
      <w:r w:rsidRPr="009026AB">
        <w:rPr>
          <w:color w:val="222222"/>
          <w:shd w:val="clear" w:color="auto" w:fill="FFFFFF"/>
        </w:rPr>
        <w:t>Frentiu</w:t>
      </w:r>
      <w:proofErr w:type="spellEnd"/>
      <w:r w:rsidRPr="009026AB">
        <w:rPr>
          <w:color w:val="222222"/>
          <w:shd w:val="clear" w:color="auto" w:fill="FFFFFF"/>
        </w:rPr>
        <w:t xml:space="preserve">, F. D., </w:t>
      </w:r>
      <w:proofErr w:type="spellStart"/>
      <w:r w:rsidRPr="009026AB">
        <w:rPr>
          <w:color w:val="222222"/>
          <w:shd w:val="clear" w:color="auto" w:fill="FFFFFF"/>
        </w:rPr>
        <w:t>McMeniman</w:t>
      </w:r>
      <w:proofErr w:type="spellEnd"/>
      <w:r w:rsidRPr="009026AB">
        <w:rPr>
          <w:color w:val="222222"/>
          <w:shd w:val="clear" w:color="auto" w:fill="FFFFFF"/>
        </w:rPr>
        <w:t>, C. J., ... &amp; Hoffmann, A. A. (2011). The w Mel Wolbachia strain blocks dengue and invades caged Aedes aegypti populations. </w:t>
      </w:r>
      <w:r w:rsidRPr="009026AB">
        <w:rPr>
          <w:i/>
          <w:iCs/>
          <w:color w:val="222222"/>
          <w:shd w:val="clear" w:color="auto" w:fill="FFFFFF"/>
        </w:rPr>
        <w:t>Nature</w:t>
      </w:r>
      <w:r w:rsidRPr="009026AB">
        <w:rPr>
          <w:color w:val="222222"/>
          <w:shd w:val="clear" w:color="auto" w:fill="FFFFFF"/>
        </w:rPr>
        <w:t>, </w:t>
      </w:r>
      <w:r w:rsidRPr="009026AB">
        <w:rPr>
          <w:i/>
          <w:iCs/>
          <w:color w:val="222222"/>
          <w:shd w:val="clear" w:color="auto" w:fill="FFFFFF"/>
        </w:rPr>
        <w:t>476</w:t>
      </w:r>
      <w:r w:rsidRPr="009026AB">
        <w:rPr>
          <w:color w:val="222222"/>
          <w:shd w:val="clear" w:color="auto" w:fill="FFFFFF"/>
        </w:rPr>
        <w:t>(7361), 450-453.</w:t>
      </w:r>
    </w:p>
    <w:p w14:paraId="2CC1BC23" w14:textId="63D1275C" w:rsidR="002802CF" w:rsidRDefault="002802CF" w:rsidP="009026AB">
      <w:pPr>
        <w:spacing w:line="480" w:lineRule="auto"/>
        <w:ind w:left="720" w:hanging="720"/>
        <w:jc w:val="both"/>
        <w:rPr>
          <w:color w:val="222222"/>
          <w:shd w:val="clear" w:color="auto" w:fill="FFFFFF"/>
        </w:rPr>
      </w:pPr>
      <w:r w:rsidRPr="009026AB">
        <w:rPr>
          <w:color w:val="222222"/>
          <w:shd w:val="clear" w:color="auto" w:fill="FFFFFF"/>
        </w:rPr>
        <w:lastRenderedPageBreak/>
        <w:t xml:space="preserve">Wilder-Smith, A., </w:t>
      </w:r>
      <w:proofErr w:type="spellStart"/>
      <w:r w:rsidRPr="009026AB">
        <w:rPr>
          <w:color w:val="222222"/>
          <w:shd w:val="clear" w:color="auto" w:fill="FFFFFF"/>
        </w:rPr>
        <w:t>Flasche</w:t>
      </w:r>
      <w:proofErr w:type="spellEnd"/>
      <w:r w:rsidRPr="009026AB">
        <w:rPr>
          <w:color w:val="222222"/>
          <w:shd w:val="clear" w:color="auto" w:fill="FFFFFF"/>
        </w:rPr>
        <w:t>, S., &amp; Smith, P. G. (2019). Vaccine-attributable severe dengue in the Philippines. </w:t>
      </w:r>
      <w:r w:rsidRPr="009026AB">
        <w:rPr>
          <w:i/>
          <w:iCs/>
          <w:color w:val="222222"/>
          <w:shd w:val="clear" w:color="auto" w:fill="FFFFFF"/>
        </w:rPr>
        <w:t>The Lancet</w:t>
      </w:r>
      <w:r w:rsidRPr="009026AB">
        <w:rPr>
          <w:color w:val="222222"/>
          <w:shd w:val="clear" w:color="auto" w:fill="FFFFFF"/>
        </w:rPr>
        <w:t>, </w:t>
      </w:r>
      <w:r w:rsidRPr="009026AB">
        <w:rPr>
          <w:i/>
          <w:iCs/>
          <w:color w:val="222222"/>
          <w:shd w:val="clear" w:color="auto" w:fill="FFFFFF"/>
        </w:rPr>
        <w:t>394</w:t>
      </w:r>
      <w:r w:rsidRPr="009026AB">
        <w:rPr>
          <w:color w:val="222222"/>
          <w:shd w:val="clear" w:color="auto" w:fill="FFFFFF"/>
        </w:rPr>
        <w:t>(10215), 2151-2152.</w:t>
      </w:r>
    </w:p>
    <w:p w14:paraId="27326D14" w14:textId="77777777" w:rsidR="006476BB" w:rsidRDefault="006476BB" w:rsidP="006476BB">
      <w:pPr>
        <w:spacing w:line="480" w:lineRule="auto"/>
        <w:ind w:left="720" w:hanging="720"/>
        <w:jc w:val="both"/>
        <w:rPr>
          <w:color w:val="222222"/>
          <w:shd w:val="clear" w:color="auto" w:fill="FFFFFF"/>
        </w:rPr>
      </w:pPr>
      <w:r>
        <w:rPr>
          <w:color w:val="222222"/>
          <w:shd w:val="clear" w:color="auto" w:fill="FFFFFF"/>
        </w:rPr>
        <w:t xml:space="preserve">World Bank, World Development Indicators. (2019). </w:t>
      </w:r>
      <w:r>
        <w:rPr>
          <w:i/>
          <w:iCs/>
          <w:color w:val="222222"/>
          <w:shd w:val="clear" w:color="auto" w:fill="FFFFFF"/>
        </w:rPr>
        <w:t>Life Expectancy at Birth, Total (years)</w:t>
      </w:r>
      <w:r>
        <w:rPr>
          <w:color w:val="222222"/>
          <w:shd w:val="clear" w:color="auto" w:fill="FFFFFF"/>
        </w:rPr>
        <w:t xml:space="preserve">. Retrieved from </w:t>
      </w:r>
      <w:hyperlink r:id="rId12" w:history="1">
        <w:r w:rsidRPr="009023D9">
          <w:rPr>
            <w:rStyle w:val="Hyperlink"/>
            <w:shd w:val="clear" w:color="auto" w:fill="FFFFFF"/>
          </w:rPr>
          <w:t>https://data.worldbank.org/indicator/SP.DYN.LE00.IN</w:t>
        </w:r>
      </w:hyperlink>
    </w:p>
    <w:p w14:paraId="74592EF5" w14:textId="482DFC3C" w:rsidR="00972ED7" w:rsidRDefault="00972ED7" w:rsidP="006476BB">
      <w:pPr>
        <w:spacing w:line="480" w:lineRule="auto"/>
        <w:ind w:left="720" w:hanging="720"/>
        <w:jc w:val="both"/>
        <w:rPr>
          <w:color w:val="222222"/>
          <w:shd w:val="clear" w:color="auto" w:fill="FFFFFF"/>
        </w:rPr>
      </w:pPr>
      <w:r w:rsidRPr="009026AB">
        <w:rPr>
          <w:color w:val="222222"/>
          <w:shd w:val="clear" w:color="auto" w:fill="FFFFFF"/>
        </w:rPr>
        <w:t xml:space="preserve">World Health Organization. (2021, May 9). “Dengue and Severe Dengue: Key Facts”. Retrieved from </w:t>
      </w:r>
      <w:hyperlink r:id="rId13" w:history="1">
        <w:r w:rsidRPr="009026AB">
          <w:rPr>
            <w:rStyle w:val="Hyperlink"/>
            <w:shd w:val="clear" w:color="auto" w:fill="FFFFFF"/>
          </w:rPr>
          <w:t>https://www.who.int/news-room/fact-sheets/detail/dengue-and-severe-dengue</w:t>
        </w:r>
      </w:hyperlink>
    </w:p>
    <w:p w14:paraId="03D9EBE9" w14:textId="4C0B2D2E" w:rsidR="006476BB" w:rsidRPr="006476BB" w:rsidRDefault="006476BB" w:rsidP="006476BB">
      <w:pPr>
        <w:spacing w:line="480" w:lineRule="auto"/>
        <w:ind w:left="720" w:hanging="720"/>
        <w:jc w:val="both"/>
      </w:pPr>
      <w:r w:rsidRPr="009026AB">
        <w:t xml:space="preserve">World Mosquito Program. (2021). “Our Work”. Retrieved from </w:t>
      </w:r>
      <w:hyperlink r:id="rId14" w:history="1">
        <w:r w:rsidRPr="009026AB">
          <w:rPr>
            <w:rStyle w:val="Hyperlink"/>
          </w:rPr>
          <w:t>https://www.worldmosquitoprogram.org/en/work</w:t>
        </w:r>
      </w:hyperlink>
    </w:p>
    <w:p w14:paraId="64593F40" w14:textId="15FD3DD3" w:rsidR="001101AD" w:rsidRPr="005A0B84" w:rsidRDefault="002802CF" w:rsidP="005A0B84">
      <w:pPr>
        <w:spacing w:line="480" w:lineRule="auto"/>
        <w:ind w:left="720" w:hanging="720"/>
        <w:jc w:val="both"/>
        <w:rPr>
          <w:color w:val="222222"/>
          <w:shd w:val="clear" w:color="auto" w:fill="FFFFFF"/>
        </w:rPr>
      </w:pPr>
      <w:r w:rsidRPr="009026AB">
        <w:rPr>
          <w:color w:val="222222"/>
          <w:shd w:val="clear" w:color="auto" w:fill="FFFFFF"/>
        </w:rPr>
        <w:t xml:space="preserve">Zeng, W., </w:t>
      </w:r>
      <w:proofErr w:type="spellStart"/>
      <w:r w:rsidRPr="009026AB">
        <w:rPr>
          <w:color w:val="222222"/>
          <w:shd w:val="clear" w:color="auto" w:fill="FFFFFF"/>
        </w:rPr>
        <w:t>Halasa</w:t>
      </w:r>
      <w:proofErr w:type="spellEnd"/>
      <w:r w:rsidRPr="009026AB">
        <w:rPr>
          <w:color w:val="222222"/>
          <w:shd w:val="clear" w:color="auto" w:fill="FFFFFF"/>
        </w:rPr>
        <w:t xml:space="preserve">-Rappel, Y. A., </w:t>
      </w:r>
      <w:proofErr w:type="spellStart"/>
      <w:r w:rsidRPr="009026AB">
        <w:rPr>
          <w:color w:val="222222"/>
          <w:shd w:val="clear" w:color="auto" w:fill="FFFFFF"/>
        </w:rPr>
        <w:t>Baurin</w:t>
      </w:r>
      <w:proofErr w:type="spellEnd"/>
      <w:r w:rsidRPr="009026AB">
        <w:rPr>
          <w:color w:val="222222"/>
          <w:shd w:val="clear" w:color="auto" w:fill="FFFFFF"/>
        </w:rPr>
        <w:t xml:space="preserve">, N., </w:t>
      </w:r>
      <w:proofErr w:type="spellStart"/>
      <w:r w:rsidRPr="009026AB">
        <w:rPr>
          <w:color w:val="222222"/>
          <w:shd w:val="clear" w:color="auto" w:fill="FFFFFF"/>
        </w:rPr>
        <w:t>Coudeville</w:t>
      </w:r>
      <w:proofErr w:type="spellEnd"/>
      <w:r w:rsidRPr="009026AB">
        <w:rPr>
          <w:color w:val="222222"/>
          <w:shd w:val="clear" w:color="auto" w:fill="FFFFFF"/>
        </w:rPr>
        <w:t>, L., &amp; Shepard, D. S. (2018). Cost-effectiveness of dengue vaccination in ten endemic countries. </w:t>
      </w:r>
      <w:r w:rsidRPr="009026AB">
        <w:rPr>
          <w:i/>
          <w:iCs/>
          <w:color w:val="222222"/>
          <w:shd w:val="clear" w:color="auto" w:fill="FFFFFF"/>
        </w:rPr>
        <w:t>Vaccine</w:t>
      </w:r>
      <w:r w:rsidRPr="009026AB">
        <w:rPr>
          <w:color w:val="222222"/>
          <w:shd w:val="clear" w:color="auto" w:fill="FFFFFF"/>
        </w:rPr>
        <w:t>, </w:t>
      </w:r>
      <w:r w:rsidRPr="009026AB">
        <w:rPr>
          <w:i/>
          <w:iCs/>
          <w:color w:val="222222"/>
          <w:shd w:val="clear" w:color="auto" w:fill="FFFFFF"/>
        </w:rPr>
        <w:t>36</w:t>
      </w:r>
      <w:r w:rsidRPr="009026AB">
        <w:rPr>
          <w:color w:val="222222"/>
          <w:shd w:val="clear" w:color="auto" w:fill="FFFFFF"/>
        </w:rPr>
        <w:t>(3), 413-420.</w:t>
      </w:r>
    </w:p>
    <w:p w14:paraId="77E11D66" w14:textId="77777777" w:rsidR="00D43B71" w:rsidRPr="009026AB" w:rsidRDefault="00D43B71" w:rsidP="009026AB">
      <w:pPr>
        <w:spacing w:line="480" w:lineRule="auto"/>
        <w:ind w:left="720" w:hanging="720"/>
        <w:jc w:val="both"/>
      </w:pPr>
    </w:p>
    <w:p w14:paraId="6AF68052" w14:textId="77777777" w:rsidR="002802CF" w:rsidRDefault="002802CF"/>
    <w:sectPr w:rsidR="002802CF" w:rsidSect="00F91CFC">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4154E" w14:textId="77777777" w:rsidR="00826BF9" w:rsidRDefault="00826BF9" w:rsidP="006476BB">
      <w:r>
        <w:separator/>
      </w:r>
    </w:p>
  </w:endnote>
  <w:endnote w:type="continuationSeparator" w:id="0">
    <w:p w14:paraId="2CA440B9" w14:textId="77777777" w:rsidR="00826BF9" w:rsidRDefault="00826BF9" w:rsidP="0064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0072735"/>
      <w:docPartObj>
        <w:docPartGallery w:val="Page Numbers (Bottom of Page)"/>
        <w:docPartUnique/>
      </w:docPartObj>
    </w:sdtPr>
    <w:sdtEndPr>
      <w:rPr>
        <w:rStyle w:val="PageNumber"/>
      </w:rPr>
    </w:sdtEndPr>
    <w:sdtContent>
      <w:p w14:paraId="5B5AE33B" w14:textId="5CDB43F6" w:rsidR="006476BB" w:rsidRDefault="006476BB" w:rsidP="009023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C9309D" w14:textId="77777777" w:rsidR="006476BB" w:rsidRDefault="006476BB" w:rsidP="006476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7633843"/>
      <w:docPartObj>
        <w:docPartGallery w:val="Page Numbers (Bottom of Page)"/>
        <w:docPartUnique/>
      </w:docPartObj>
    </w:sdtPr>
    <w:sdtEndPr>
      <w:rPr>
        <w:rStyle w:val="PageNumber"/>
      </w:rPr>
    </w:sdtEndPr>
    <w:sdtContent>
      <w:p w14:paraId="04D8EDF2" w14:textId="7E1A6BDB" w:rsidR="006476BB" w:rsidRDefault="006476BB" w:rsidP="009023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A353F7" w14:textId="77777777" w:rsidR="006476BB" w:rsidRDefault="006476BB" w:rsidP="006476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01347" w14:textId="77777777" w:rsidR="00826BF9" w:rsidRDefault="00826BF9" w:rsidP="006476BB">
      <w:r>
        <w:separator/>
      </w:r>
    </w:p>
  </w:footnote>
  <w:footnote w:type="continuationSeparator" w:id="0">
    <w:p w14:paraId="33575DED" w14:textId="77777777" w:rsidR="00826BF9" w:rsidRDefault="00826BF9" w:rsidP="0064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696E" w14:textId="6C367424" w:rsidR="006476BB" w:rsidRDefault="006476BB" w:rsidP="006476BB">
    <w:pPr>
      <w:pStyle w:val="Header"/>
    </w:pPr>
    <w:r>
      <w:t>Kayla Nikc</w:t>
    </w:r>
    <w:r>
      <w:ptab w:relativeTo="margin" w:alignment="center" w:leader="none"/>
    </w:r>
    <w:r>
      <w:ptab w:relativeTo="margin" w:alignment="right" w:leader="none"/>
    </w:r>
    <w:r>
      <w:t>12/</w:t>
    </w:r>
    <w:r w:rsidR="007D3E47">
      <w:t>10</w:t>
    </w:r>
    <w:r>
      <w:t>/2021</w:t>
    </w:r>
  </w:p>
  <w:p w14:paraId="00A46708" w14:textId="3043C793" w:rsidR="006476BB" w:rsidRDefault="006476BB" w:rsidP="006476BB">
    <w:pPr>
      <w:pStyle w:val="Header"/>
    </w:pPr>
    <w:proofErr w:type="spellStart"/>
    <w:r>
      <w:t>Turbat</w:t>
    </w:r>
    <w:proofErr w:type="spellEnd"/>
  </w:p>
  <w:p w14:paraId="09414AB4" w14:textId="578E140F" w:rsidR="006476BB" w:rsidRDefault="006476BB" w:rsidP="006476BB">
    <w:pPr>
      <w:pStyle w:val="Header"/>
    </w:pPr>
    <w:r>
      <w:t>GLOH-517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7A"/>
    <w:rsid w:val="00003273"/>
    <w:rsid w:val="00017546"/>
    <w:rsid w:val="000212C2"/>
    <w:rsid w:val="000263FB"/>
    <w:rsid w:val="00027F7A"/>
    <w:rsid w:val="00043329"/>
    <w:rsid w:val="00097026"/>
    <w:rsid w:val="000A38D9"/>
    <w:rsid w:val="000B685B"/>
    <w:rsid w:val="000C34B8"/>
    <w:rsid w:val="000C413D"/>
    <w:rsid w:val="000E3518"/>
    <w:rsid w:val="001101AD"/>
    <w:rsid w:val="00114E36"/>
    <w:rsid w:val="0013144B"/>
    <w:rsid w:val="0015634C"/>
    <w:rsid w:val="00167708"/>
    <w:rsid w:val="0018077F"/>
    <w:rsid w:val="001A53F4"/>
    <w:rsid w:val="001B0DF7"/>
    <w:rsid w:val="001D08C1"/>
    <w:rsid w:val="001E1D6D"/>
    <w:rsid w:val="001E5291"/>
    <w:rsid w:val="00201B21"/>
    <w:rsid w:val="0025428C"/>
    <w:rsid w:val="00261230"/>
    <w:rsid w:val="002802CF"/>
    <w:rsid w:val="002855B3"/>
    <w:rsid w:val="00287C10"/>
    <w:rsid w:val="002D689F"/>
    <w:rsid w:val="002D6D9E"/>
    <w:rsid w:val="002D725C"/>
    <w:rsid w:val="002F5142"/>
    <w:rsid w:val="00340AAB"/>
    <w:rsid w:val="00352422"/>
    <w:rsid w:val="003557D2"/>
    <w:rsid w:val="00355D92"/>
    <w:rsid w:val="00391A79"/>
    <w:rsid w:val="003A6BD4"/>
    <w:rsid w:val="003B0F1D"/>
    <w:rsid w:val="003C07C6"/>
    <w:rsid w:val="003D1A1E"/>
    <w:rsid w:val="003E1F1B"/>
    <w:rsid w:val="003F36A4"/>
    <w:rsid w:val="003F376B"/>
    <w:rsid w:val="003F4001"/>
    <w:rsid w:val="00425D4B"/>
    <w:rsid w:val="00450F7F"/>
    <w:rsid w:val="004540A4"/>
    <w:rsid w:val="00454166"/>
    <w:rsid w:val="00461D80"/>
    <w:rsid w:val="00473322"/>
    <w:rsid w:val="004F56BA"/>
    <w:rsid w:val="00576608"/>
    <w:rsid w:val="005A0B84"/>
    <w:rsid w:val="005A5844"/>
    <w:rsid w:val="005F455A"/>
    <w:rsid w:val="00600D25"/>
    <w:rsid w:val="006070B4"/>
    <w:rsid w:val="006476BB"/>
    <w:rsid w:val="006D2E61"/>
    <w:rsid w:val="006E46B1"/>
    <w:rsid w:val="00704FBA"/>
    <w:rsid w:val="00715C21"/>
    <w:rsid w:val="00744290"/>
    <w:rsid w:val="007737A8"/>
    <w:rsid w:val="00775990"/>
    <w:rsid w:val="007B0682"/>
    <w:rsid w:val="007B3640"/>
    <w:rsid w:val="007B5AF0"/>
    <w:rsid w:val="007D3E47"/>
    <w:rsid w:val="007F4FED"/>
    <w:rsid w:val="00826BF9"/>
    <w:rsid w:val="00836303"/>
    <w:rsid w:val="00836918"/>
    <w:rsid w:val="00837CF7"/>
    <w:rsid w:val="00845A5F"/>
    <w:rsid w:val="008A3A14"/>
    <w:rsid w:val="008D0599"/>
    <w:rsid w:val="008E03AE"/>
    <w:rsid w:val="008F00D5"/>
    <w:rsid w:val="009026AB"/>
    <w:rsid w:val="00925DD8"/>
    <w:rsid w:val="00972ED7"/>
    <w:rsid w:val="0098772B"/>
    <w:rsid w:val="009C100E"/>
    <w:rsid w:val="009C690E"/>
    <w:rsid w:val="009D3786"/>
    <w:rsid w:val="00A10301"/>
    <w:rsid w:val="00A112DC"/>
    <w:rsid w:val="00A613C4"/>
    <w:rsid w:val="00A767B5"/>
    <w:rsid w:val="00A91D45"/>
    <w:rsid w:val="00AB1491"/>
    <w:rsid w:val="00AB3288"/>
    <w:rsid w:val="00AC3DA2"/>
    <w:rsid w:val="00AE3D46"/>
    <w:rsid w:val="00AF6451"/>
    <w:rsid w:val="00B611E2"/>
    <w:rsid w:val="00BC6D6E"/>
    <w:rsid w:val="00BF3395"/>
    <w:rsid w:val="00C16686"/>
    <w:rsid w:val="00C73C80"/>
    <w:rsid w:val="00C770E5"/>
    <w:rsid w:val="00C84214"/>
    <w:rsid w:val="00C9255B"/>
    <w:rsid w:val="00C966BC"/>
    <w:rsid w:val="00CB7762"/>
    <w:rsid w:val="00CB77F9"/>
    <w:rsid w:val="00CC33AA"/>
    <w:rsid w:val="00CD05D3"/>
    <w:rsid w:val="00CD54D7"/>
    <w:rsid w:val="00CE1AF2"/>
    <w:rsid w:val="00CF01FD"/>
    <w:rsid w:val="00D00D5E"/>
    <w:rsid w:val="00D11D4B"/>
    <w:rsid w:val="00D42465"/>
    <w:rsid w:val="00D43B71"/>
    <w:rsid w:val="00D56D21"/>
    <w:rsid w:val="00D6498F"/>
    <w:rsid w:val="00D64AAF"/>
    <w:rsid w:val="00D73CDC"/>
    <w:rsid w:val="00D801EA"/>
    <w:rsid w:val="00D94E6F"/>
    <w:rsid w:val="00DA0CDF"/>
    <w:rsid w:val="00DD51EB"/>
    <w:rsid w:val="00DD5741"/>
    <w:rsid w:val="00DE4DC9"/>
    <w:rsid w:val="00E473AC"/>
    <w:rsid w:val="00E47C6D"/>
    <w:rsid w:val="00E72A69"/>
    <w:rsid w:val="00E8579C"/>
    <w:rsid w:val="00EA51AB"/>
    <w:rsid w:val="00EB75B9"/>
    <w:rsid w:val="00EF4BEA"/>
    <w:rsid w:val="00F24CBE"/>
    <w:rsid w:val="00F3082B"/>
    <w:rsid w:val="00F4666A"/>
    <w:rsid w:val="00F47B05"/>
    <w:rsid w:val="00F7579B"/>
    <w:rsid w:val="00F85855"/>
    <w:rsid w:val="00F91CFC"/>
    <w:rsid w:val="00F95880"/>
    <w:rsid w:val="00FA2ADA"/>
    <w:rsid w:val="00FD5034"/>
    <w:rsid w:val="00FD5195"/>
    <w:rsid w:val="00FD6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1B373C"/>
  <w15:chartTrackingRefBased/>
  <w15:docId w15:val="{D4CB0EC6-6377-1E4B-8BF6-67D31EBB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0B8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142"/>
    <w:rPr>
      <w:color w:val="0563C1" w:themeColor="hyperlink"/>
      <w:u w:val="single"/>
    </w:rPr>
  </w:style>
  <w:style w:type="character" w:styleId="UnresolvedMention">
    <w:name w:val="Unresolved Mention"/>
    <w:basedOn w:val="DefaultParagraphFont"/>
    <w:uiPriority w:val="99"/>
    <w:rsid w:val="002F5142"/>
    <w:rPr>
      <w:color w:val="605E5C"/>
      <w:shd w:val="clear" w:color="auto" w:fill="E1DFDD"/>
    </w:rPr>
  </w:style>
  <w:style w:type="character" w:styleId="FollowedHyperlink">
    <w:name w:val="FollowedHyperlink"/>
    <w:basedOn w:val="DefaultParagraphFont"/>
    <w:uiPriority w:val="99"/>
    <w:semiHidden/>
    <w:unhideWhenUsed/>
    <w:rsid w:val="002F5142"/>
    <w:rPr>
      <w:color w:val="954F72" w:themeColor="followedHyperlink"/>
      <w:u w:val="single"/>
    </w:rPr>
  </w:style>
  <w:style w:type="table" w:styleId="TableGrid">
    <w:name w:val="Table Grid"/>
    <w:basedOn w:val="TableNormal"/>
    <w:uiPriority w:val="39"/>
    <w:rsid w:val="003A6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55B3"/>
    <w:rPr>
      <w:color w:val="808080"/>
    </w:rPr>
  </w:style>
  <w:style w:type="character" w:styleId="CommentReference">
    <w:name w:val="annotation reference"/>
    <w:basedOn w:val="DefaultParagraphFont"/>
    <w:uiPriority w:val="99"/>
    <w:semiHidden/>
    <w:unhideWhenUsed/>
    <w:rsid w:val="00FD5034"/>
    <w:rPr>
      <w:sz w:val="16"/>
      <w:szCs w:val="16"/>
    </w:rPr>
  </w:style>
  <w:style w:type="paragraph" w:styleId="CommentText">
    <w:name w:val="annotation text"/>
    <w:basedOn w:val="Normal"/>
    <w:link w:val="CommentTextChar"/>
    <w:uiPriority w:val="99"/>
    <w:semiHidden/>
    <w:unhideWhenUsed/>
    <w:rsid w:val="00FD5034"/>
    <w:rPr>
      <w:sz w:val="20"/>
      <w:szCs w:val="20"/>
    </w:rPr>
  </w:style>
  <w:style w:type="character" w:customStyle="1" w:styleId="CommentTextChar">
    <w:name w:val="Comment Text Char"/>
    <w:basedOn w:val="DefaultParagraphFont"/>
    <w:link w:val="CommentText"/>
    <w:uiPriority w:val="99"/>
    <w:semiHidden/>
    <w:rsid w:val="00FD50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5034"/>
    <w:rPr>
      <w:b/>
      <w:bCs/>
    </w:rPr>
  </w:style>
  <w:style w:type="character" w:customStyle="1" w:styleId="CommentSubjectChar">
    <w:name w:val="Comment Subject Char"/>
    <w:basedOn w:val="CommentTextChar"/>
    <w:link w:val="CommentSubject"/>
    <w:uiPriority w:val="99"/>
    <w:semiHidden/>
    <w:rsid w:val="00FD503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6476BB"/>
    <w:pPr>
      <w:tabs>
        <w:tab w:val="center" w:pos="4680"/>
        <w:tab w:val="right" w:pos="9360"/>
      </w:tabs>
    </w:pPr>
  </w:style>
  <w:style w:type="character" w:customStyle="1" w:styleId="FooterChar">
    <w:name w:val="Footer Char"/>
    <w:basedOn w:val="DefaultParagraphFont"/>
    <w:link w:val="Footer"/>
    <w:uiPriority w:val="99"/>
    <w:rsid w:val="006476BB"/>
    <w:rPr>
      <w:rFonts w:ascii="Times New Roman" w:eastAsia="Times New Roman" w:hAnsi="Times New Roman" w:cs="Times New Roman"/>
    </w:rPr>
  </w:style>
  <w:style w:type="character" w:styleId="PageNumber">
    <w:name w:val="page number"/>
    <w:basedOn w:val="DefaultParagraphFont"/>
    <w:uiPriority w:val="99"/>
    <w:semiHidden/>
    <w:unhideWhenUsed/>
    <w:rsid w:val="006476BB"/>
  </w:style>
  <w:style w:type="paragraph" w:styleId="Header">
    <w:name w:val="header"/>
    <w:basedOn w:val="Normal"/>
    <w:link w:val="HeaderChar"/>
    <w:uiPriority w:val="99"/>
    <w:unhideWhenUsed/>
    <w:rsid w:val="006476BB"/>
    <w:pPr>
      <w:tabs>
        <w:tab w:val="center" w:pos="4680"/>
        <w:tab w:val="right" w:pos="9360"/>
      </w:tabs>
    </w:pPr>
  </w:style>
  <w:style w:type="character" w:customStyle="1" w:styleId="HeaderChar">
    <w:name w:val="Header Char"/>
    <w:basedOn w:val="DefaultParagraphFont"/>
    <w:link w:val="Header"/>
    <w:uiPriority w:val="99"/>
    <w:rsid w:val="006476BB"/>
    <w:rPr>
      <w:rFonts w:ascii="Times New Roman" w:eastAsia="Times New Roman" w:hAnsi="Times New Roman" w:cs="Times New Roman"/>
    </w:rPr>
  </w:style>
  <w:style w:type="paragraph" w:styleId="NormalWeb">
    <w:name w:val="Normal (Web)"/>
    <w:basedOn w:val="Normal"/>
    <w:uiPriority w:val="99"/>
    <w:unhideWhenUsed/>
    <w:rsid w:val="006476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8711">
      <w:bodyDiv w:val="1"/>
      <w:marLeft w:val="0"/>
      <w:marRight w:val="0"/>
      <w:marTop w:val="0"/>
      <w:marBottom w:val="0"/>
      <w:divBdr>
        <w:top w:val="none" w:sz="0" w:space="0" w:color="auto"/>
        <w:left w:val="none" w:sz="0" w:space="0" w:color="auto"/>
        <w:bottom w:val="none" w:sz="0" w:space="0" w:color="auto"/>
        <w:right w:val="none" w:sz="0" w:space="0" w:color="auto"/>
      </w:divBdr>
    </w:div>
    <w:div w:id="63650692">
      <w:bodyDiv w:val="1"/>
      <w:marLeft w:val="0"/>
      <w:marRight w:val="0"/>
      <w:marTop w:val="0"/>
      <w:marBottom w:val="0"/>
      <w:divBdr>
        <w:top w:val="none" w:sz="0" w:space="0" w:color="auto"/>
        <w:left w:val="none" w:sz="0" w:space="0" w:color="auto"/>
        <w:bottom w:val="none" w:sz="0" w:space="0" w:color="auto"/>
        <w:right w:val="none" w:sz="0" w:space="0" w:color="auto"/>
      </w:divBdr>
      <w:divsChild>
        <w:div w:id="1591892011">
          <w:marLeft w:val="0"/>
          <w:marRight w:val="0"/>
          <w:marTop w:val="0"/>
          <w:marBottom w:val="0"/>
          <w:divBdr>
            <w:top w:val="none" w:sz="0" w:space="0" w:color="auto"/>
            <w:left w:val="none" w:sz="0" w:space="0" w:color="auto"/>
            <w:bottom w:val="none" w:sz="0" w:space="0" w:color="auto"/>
            <w:right w:val="none" w:sz="0" w:space="0" w:color="auto"/>
          </w:divBdr>
          <w:divsChild>
            <w:div w:id="1056515644">
              <w:marLeft w:val="0"/>
              <w:marRight w:val="0"/>
              <w:marTop w:val="0"/>
              <w:marBottom w:val="0"/>
              <w:divBdr>
                <w:top w:val="none" w:sz="0" w:space="0" w:color="auto"/>
                <w:left w:val="none" w:sz="0" w:space="0" w:color="auto"/>
                <w:bottom w:val="none" w:sz="0" w:space="0" w:color="auto"/>
                <w:right w:val="none" w:sz="0" w:space="0" w:color="auto"/>
              </w:divBdr>
              <w:divsChild>
                <w:div w:id="20970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8978">
      <w:bodyDiv w:val="1"/>
      <w:marLeft w:val="0"/>
      <w:marRight w:val="0"/>
      <w:marTop w:val="0"/>
      <w:marBottom w:val="0"/>
      <w:divBdr>
        <w:top w:val="none" w:sz="0" w:space="0" w:color="auto"/>
        <w:left w:val="none" w:sz="0" w:space="0" w:color="auto"/>
        <w:bottom w:val="none" w:sz="0" w:space="0" w:color="auto"/>
        <w:right w:val="none" w:sz="0" w:space="0" w:color="auto"/>
      </w:divBdr>
    </w:div>
    <w:div w:id="214781429">
      <w:bodyDiv w:val="1"/>
      <w:marLeft w:val="0"/>
      <w:marRight w:val="0"/>
      <w:marTop w:val="0"/>
      <w:marBottom w:val="0"/>
      <w:divBdr>
        <w:top w:val="none" w:sz="0" w:space="0" w:color="auto"/>
        <w:left w:val="none" w:sz="0" w:space="0" w:color="auto"/>
        <w:bottom w:val="none" w:sz="0" w:space="0" w:color="auto"/>
        <w:right w:val="none" w:sz="0" w:space="0" w:color="auto"/>
      </w:divBdr>
    </w:div>
    <w:div w:id="215439275">
      <w:bodyDiv w:val="1"/>
      <w:marLeft w:val="0"/>
      <w:marRight w:val="0"/>
      <w:marTop w:val="0"/>
      <w:marBottom w:val="0"/>
      <w:divBdr>
        <w:top w:val="none" w:sz="0" w:space="0" w:color="auto"/>
        <w:left w:val="none" w:sz="0" w:space="0" w:color="auto"/>
        <w:bottom w:val="none" w:sz="0" w:space="0" w:color="auto"/>
        <w:right w:val="none" w:sz="0" w:space="0" w:color="auto"/>
      </w:divBdr>
    </w:div>
    <w:div w:id="348680011">
      <w:bodyDiv w:val="1"/>
      <w:marLeft w:val="0"/>
      <w:marRight w:val="0"/>
      <w:marTop w:val="0"/>
      <w:marBottom w:val="0"/>
      <w:divBdr>
        <w:top w:val="none" w:sz="0" w:space="0" w:color="auto"/>
        <w:left w:val="none" w:sz="0" w:space="0" w:color="auto"/>
        <w:bottom w:val="none" w:sz="0" w:space="0" w:color="auto"/>
        <w:right w:val="none" w:sz="0" w:space="0" w:color="auto"/>
      </w:divBdr>
    </w:div>
    <w:div w:id="661005765">
      <w:bodyDiv w:val="1"/>
      <w:marLeft w:val="0"/>
      <w:marRight w:val="0"/>
      <w:marTop w:val="0"/>
      <w:marBottom w:val="0"/>
      <w:divBdr>
        <w:top w:val="none" w:sz="0" w:space="0" w:color="auto"/>
        <w:left w:val="none" w:sz="0" w:space="0" w:color="auto"/>
        <w:bottom w:val="none" w:sz="0" w:space="0" w:color="auto"/>
        <w:right w:val="none" w:sz="0" w:space="0" w:color="auto"/>
      </w:divBdr>
    </w:div>
    <w:div w:id="815073127">
      <w:bodyDiv w:val="1"/>
      <w:marLeft w:val="0"/>
      <w:marRight w:val="0"/>
      <w:marTop w:val="0"/>
      <w:marBottom w:val="0"/>
      <w:divBdr>
        <w:top w:val="none" w:sz="0" w:space="0" w:color="auto"/>
        <w:left w:val="none" w:sz="0" w:space="0" w:color="auto"/>
        <w:bottom w:val="none" w:sz="0" w:space="0" w:color="auto"/>
        <w:right w:val="none" w:sz="0" w:space="0" w:color="auto"/>
      </w:divBdr>
    </w:div>
    <w:div w:id="848909768">
      <w:bodyDiv w:val="1"/>
      <w:marLeft w:val="0"/>
      <w:marRight w:val="0"/>
      <w:marTop w:val="0"/>
      <w:marBottom w:val="0"/>
      <w:divBdr>
        <w:top w:val="none" w:sz="0" w:space="0" w:color="auto"/>
        <w:left w:val="none" w:sz="0" w:space="0" w:color="auto"/>
        <w:bottom w:val="none" w:sz="0" w:space="0" w:color="auto"/>
        <w:right w:val="none" w:sz="0" w:space="0" w:color="auto"/>
      </w:divBdr>
    </w:div>
    <w:div w:id="865674016">
      <w:bodyDiv w:val="1"/>
      <w:marLeft w:val="0"/>
      <w:marRight w:val="0"/>
      <w:marTop w:val="0"/>
      <w:marBottom w:val="0"/>
      <w:divBdr>
        <w:top w:val="none" w:sz="0" w:space="0" w:color="auto"/>
        <w:left w:val="none" w:sz="0" w:space="0" w:color="auto"/>
        <w:bottom w:val="none" w:sz="0" w:space="0" w:color="auto"/>
        <w:right w:val="none" w:sz="0" w:space="0" w:color="auto"/>
      </w:divBdr>
    </w:div>
    <w:div w:id="904296432">
      <w:bodyDiv w:val="1"/>
      <w:marLeft w:val="0"/>
      <w:marRight w:val="0"/>
      <w:marTop w:val="0"/>
      <w:marBottom w:val="0"/>
      <w:divBdr>
        <w:top w:val="none" w:sz="0" w:space="0" w:color="auto"/>
        <w:left w:val="none" w:sz="0" w:space="0" w:color="auto"/>
        <w:bottom w:val="none" w:sz="0" w:space="0" w:color="auto"/>
        <w:right w:val="none" w:sz="0" w:space="0" w:color="auto"/>
      </w:divBdr>
    </w:div>
    <w:div w:id="979382138">
      <w:bodyDiv w:val="1"/>
      <w:marLeft w:val="0"/>
      <w:marRight w:val="0"/>
      <w:marTop w:val="0"/>
      <w:marBottom w:val="0"/>
      <w:divBdr>
        <w:top w:val="none" w:sz="0" w:space="0" w:color="auto"/>
        <w:left w:val="none" w:sz="0" w:space="0" w:color="auto"/>
        <w:bottom w:val="none" w:sz="0" w:space="0" w:color="auto"/>
        <w:right w:val="none" w:sz="0" w:space="0" w:color="auto"/>
      </w:divBdr>
    </w:div>
    <w:div w:id="1111582498">
      <w:bodyDiv w:val="1"/>
      <w:marLeft w:val="0"/>
      <w:marRight w:val="0"/>
      <w:marTop w:val="0"/>
      <w:marBottom w:val="0"/>
      <w:divBdr>
        <w:top w:val="none" w:sz="0" w:space="0" w:color="auto"/>
        <w:left w:val="none" w:sz="0" w:space="0" w:color="auto"/>
        <w:bottom w:val="none" w:sz="0" w:space="0" w:color="auto"/>
        <w:right w:val="none" w:sz="0" w:space="0" w:color="auto"/>
      </w:divBdr>
    </w:div>
    <w:div w:id="1136221369">
      <w:bodyDiv w:val="1"/>
      <w:marLeft w:val="0"/>
      <w:marRight w:val="0"/>
      <w:marTop w:val="0"/>
      <w:marBottom w:val="0"/>
      <w:divBdr>
        <w:top w:val="none" w:sz="0" w:space="0" w:color="auto"/>
        <w:left w:val="none" w:sz="0" w:space="0" w:color="auto"/>
        <w:bottom w:val="none" w:sz="0" w:space="0" w:color="auto"/>
        <w:right w:val="none" w:sz="0" w:space="0" w:color="auto"/>
      </w:divBdr>
    </w:div>
    <w:div w:id="1211068232">
      <w:bodyDiv w:val="1"/>
      <w:marLeft w:val="0"/>
      <w:marRight w:val="0"/>
      <w:marTop w:val="0"/>
      <w:marBottom w:val="0"/>
      <w:divBdr>
        <w:top w:val="none" w:sz="0" w:space="0" w:color="auto"/>
        <w:left w:val="none" w:sz="0" w:space="0" w:color="auto"/>
        <w:bottom w:val="none" w:sz="0" w:space="0" w:color="auto"/>
        <w:right w:val="none" w:sz="0" w:space="0" w:color="auto"/>
      </w:divBdr>
    </w:div>
    <w:div w:id="1413238820">
      <w:bodyDiv w:val="1"/>
      <w:marLeft w:val="0"/>
      <w:marRight w:val="0"/>
      <w:marTop w:val="0"/>
      <w:marBottom w:val="0"/>
      <w:divBdr>
        <w:top w:val="none" w:sz="0" w:space="0" w:color="auto"/>
        <w:left w:val="none" w:sz="0" w:space="0" w:color="auto"/>
        <w:bottom w:val="none" w:sz="0" w:space="0" w:color="auto"/>
        <w:right w:val="none" w:sz="0" w:space="0" w:color="auto"/>
      </w:divBdr>
    </w:div>
    <w:div w:id="1461922105">
      <w:bodyDiv w:val="1"/>
      <w:marLeft w:val="0"/>
      <w:marRight w:val="0"/>
      <w:marTop w:val="0"/>
      <w:marBottom w:val="0"/>
      <w:divBdr>
        <w:top w:val="none" w:sz="0" w:space="0" w:color="auto"/>
        <w:left w:val="none" w:sz="0" w:space="0" w:color="auto"/>
        <w:bottom w:val="none" w:sz="0" w:space="0" w:color="auto"/>
        <w:right w:val="none" w:sz="0" w:space="0" w:color="auto"/>
      </w:divBdr>
    </w:div>
    <w:div w:id="1492216974">
      <w:bodyDiv w:val="1"/>
      <w:marLeft w:val="0"/>
      <w:marRight w:val="0"/>
      <w:marTop w:val="0"/>
      <w:marBottom w:val="0"/>
      <w:divBdr>
        <w:top w:val="none" w:sz="0" w:space="0" w:color="auto"/>
        <w:left w:val="none" w:sz="0" w:space="0" w:color="auto"/>
        <w:bottom w:val="none" w:sz="0" w:space="0" w:color="auto"/>
        <w:right w:val="none" w:sz="0" w:space="0" w:color="auto"/>
      </w:divBdr>
    </w:div>
    <w:div w:id="1520270469">
      <w:bodyDiv w:val="1"/>
      <w:marLeft w:val="0"/>
      <w:marRight w:val="0"/>
      <w:marTop w:val="0"/>
      <w:marBottom w:val="0"/>
      <w:divBdr>
        <w:top w:val="none" w:sz="0" w:space="0" w:color="auto"/>
        <w:left w:val="none" w:sz="0" w:space="0" w:color="auto"/>
        <w:bottom w:val="none" w:sz="0" w:space="0" w:color="auto"/>
        <w:right w:val="none" w:sz="0" w:space="0" w:color="auto"/>
      </w:divBdr>
    </w:div>
    <w:div w:id="1580941500">
      <w:bodyDiv w:val="1"/>
      <w:marLeft w:val="0"/>
      <w:marRight w:val="0"/>
      <w:marTop w:val="0"/>
      <w:marBottom w:val="0"/>
      <w:divBdr>
        <w:top w:val="none" w:sz="0" w:space="0" w:color="auto"/>
        <w:left w:val="none" w:sz="0" w:space="0" w:color="auto"/>
        <w:bottom w:val="none" w:sz="0" w:space="0" w:color="auto"/>
        <w:right w:val="none" w:sz="0" w:space="0" w:color="auto"/>
      </w:divBdr>
    </w:div>
    <w:div w:id="1648778672">
      <w:bodyDiv w:val="1"/>
      <w:marLeft w:val="0"/>
      <w:marRight w:val="0"/>
      <w:marTop w:val="0"/>
      <w:marBottom w:val="0"/>
      <w:divBdr>
        <w:top w:val="none" w:sz="0" w:space="0" w:color="auto"/>
        <w:left w:val="none" w:sz="0" w:space="0" w:color="auto"/>
        <w:bottom w:val="none" w:sz="0" w:space="0" w:color="auto"/>
        <w:right w:val="none" w:sz="0" w:space="0" w:color="auto"/>
      </w:divBdr>
    </w:div>
    <w:div w:id="1768773765">
      <w:bodyDiv w:val="1"/>
      <w:marLeft w:val="0"/>
      <w:marRight w:val="0"/>
      <w:marTop w:val="0"/>
      <w:marBottom w:val="0"/>
      <w:divBdr>
        <w:top w:val="none" w:sz="0" w:space="0" w:color="auto"/>
        <w:left w:val="none" w:sz="0" w:space="0" w:color="auto"/>
        <w:bottom w:val="none" w:sz="0" w:space="0" w:color="auto"/>
        <w:right w:val="none" w:sz="0" w:space="0" w:color="auto"/>
      </w:divBdr>
    </w:div>
    <w:div w:id="1776637216">
      <w:bodyDiv w:val="1"/>
      <w:marLeft w:val="0"/>
      <w:marRight w:val="0"/>
      <w:marTop w:val="0"/>
      <w:marBottom w:val="0"/>
      <w:divBdr>
        <w:top w:val="none" w:sz="0" w:space="0" w:color="auto"/>
        <w:left w:val="none" w:sz="0" w:space="0" w:color="auto"/>
        <w:bottom w:val="none" w:sz="0" w:space="0" w:color="auto"/>
        <w:right w:val="none" w:sz="0" w:space="0" w:color="auto"/>
      </w:divBdr>
    </w:div>
    <w:div w:id="2008052987">
      <w:bodyDiv w:val="1"/>
      <w:marLeft w:val="0"/>
      <w:marRight w:val="0"/>
      <w:marTop w:val="0"/>
      <w:marBottom w:val="0"/>
      <w:divBdr>
        <w:top w:val="none" w:sz="0" w:space="0" w:color="auto"/>
        <w:left w:val="none" w:sz="0" w:space="0" w:color="auto"/>
        <w:bottom w:val="none" w:sz="0" w:space="0" w:color="auto"/>
        <w:right w:val="none" w:sz="0" w:space="0" w:color="auto"/>
      </w:divBdr>
    </w:div>
    <w:div w:id="2020233140">
      <w:bodyDiv w:val="1"/>
      <w:marLeft w:val="0"/>
      <w:marRight w:val="0"/>
      <w:marTop w:val="0"/>
      <w:marBottom w:val="0"/>
      <w:divBdr>
        <w:top w:val="none" w:sz="0" w:space="0" w:color="auto"/>
        <w:left w:val="none" w:sz="0" w:space="0" w:color="auto"/>
        <w:bottom w:val="none" w:sz="0" w:space="0" w:color="auto"/>
        <w:right w:val="none" w:sz="0" w:space="0" w:color="auto"/>
      </w:divBdr>
    </w:div>
    <w:div w:id="208976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petrolprices.com/Indonesia/" TargetMode="External"/><Relationship Id="rId13" Type="http://schemas.openxmlformats.org/officeDocument/2006/relationships/hyperlink" Target="https://www.who.int/news-room/fact-sheets/detail/dengue-and-severe-dengu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lobalpetrolprices.com/Thailand/" TargetMode="External"/><Relationship Id="rId12" Type="http://schemas.openxmlformats.org/officeDocument/2006/relationships/hyperlink" Target="https://data.worldbank.org/indicator/SP.DYN.LE00.IN"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aseanbriefing.com/news/minimum-wages-in-asean-for-2021/" TargetMode="External"/><Relationship Id="rId11" Type="http://schemas.openxmlformats.org/officeDocument/2006/relationships/hyperlink" Target="http://www.salaryexplorer.com/salary-survey.php?loc=101&amp;loctype=1&amp;job=2&amp;jobtype=1"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public.knoema.com/vehfhxc/quality-of-government-institute-standard-dataset-version-january-2021?country=1000800&amp;variable=1005600&amp;frequency=A"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public.knoema.com/pzmykld/world-environment-situation-database?country=1001700&amp;indicator=1005700&amp;measure=1001750&amp;frequency=A" TargetMode="External"/><Relationship Id="rId14" Type="http://schemas.openxmlformats.org/officeDocument/2006/relationships/hyperlink" Target="https://www.worldmosquitoprogram.org/en/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22</Pages>
  <Words>5345</Words>
  <Characters>30682</Characters>
  <Application>Microsoft Office Word</Application>
  <DocSecurity>0</DocSecurity>
  <Lines>713</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Nikc</dc:creator>
  <cp:keywords/>
  <dc:description/>
  <cp:lastModifiedBy>Kayla Nikc</cp:lastModifiedBy>
  <cp:revision>4</cp:revision>
  <dcterms:created xsi:type="dcterms:W3CDTF">2021-12-09T19:09:00Z</dcterms:created>
  <dcterms:modified xsi:type="dcterms:W3CDTF">2021-12-10T20:03:00Z</dcterms:modified>
</cp:coreProperties>
</file>